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1B312" w14:textId="77777777" w:rsidR="0095202E" w:rsidRDefault="00156101">
      <w:pPr>
        <w:rPr>
          <w:rFonts w:ascii="宋体"/>
          <w:b/>
          <w:bCs/>
          <w:sz w:val="24"/>
        </w:rPr>
      </w:pPr>
      <w:r>
        <w:rPr>
          <w:rFonts w:ascii="宋体" w:hAnsi="宋体"/>
          <w:b/>
          <w:bCs/>
          <w:color w:val="0D0D0D"/>
          <w:spacing w:val="2"/>
          <w:sz w:val="24"/>
          <w:szCs w:val="24"/>
        </w:rPr>
        <w:t xml:space="preserve">1. </w:t>
      </w:r>
      <w:r>
        <w:rPr>
          <w:rFonts w:ascii="宋体" w:hAnsi="宋体" w:hint="eastAsia"/>
          <w:b/>
          <w:bCs/>
          <w:color w:val="0D0D0D"/>
          <w:spacing w:val="2"/>
          <w:sz w:val="24"/>
          <w:szCs w:val="24"/>
        </w:rPr>
        <w:t>项目名称</w:t>
      </w:r>
    </w:p>
    <w:p w14:paraId="16EF763C" w14:textId="77777777" w:rsidR="0095202E" w:rsidRDefault="00156101">
      <w:pPr>
        <w:widowControl/>
        <w:adjustRightInd w:val="0"/>
        <w:snapToGrid w:val="0"/>
        <w:spacing w:after="200" w:line="500" w:lineRule="exact"/>
        <w:ind w:firstLineChars="200" w:firstLine="488"/>
        <w:jc w:val="left"/>
        <w:rPr>
          <w:rFonts w:ascii="宋体" w:hAnsi="宋体"/>
          <w:color w:val="0D0D0D"/>
          <w:spacing w:val="2"/>
          <w:sz w:val="24"/>
          <w:szCs w:val="24"/>
        </w:rPr>
      </w:pPr>
      <w:r>
        <w:rPr>
          <w:rFonts w:ascii="宋体" w:hAnsi="宋体" w:hint="eastAsia"/>
          <w:color w:val="0D0D0D"/>
          <w:spacing w:val="2"/>
          <w:sz w:val="24"/>
          <w:szCs w:val="24"/>
        </w:rPr>
        <w:t>中国西北农村冬季采暖对女性高血压患者健康影响的研究</w:t>
      </w:r>
    </w:p>
    <w:p w14:paraId="7B979437" w14:textId="77777777" w:rsidR="0095202E" w:rsidRDefault="00156101">
      <w:pPr>
        <w:widowControl/>
        <w:adjustRightInd w:val="0"/>
        <w:snapToGrid w:val="0"/>
        <w:spacing w:after="200" w:line="500" w:lineRule="exact"/>
        <w:jc w:val="left"/>
        <w:rPr>
          <w:rFonts w:ascii="宋体" w:hAnsi="宋体"/>
          <w:color w:val="0D0D0D"/>
          <w:spacing w:val="2"/>
          <w:sz w:val="24"/>
          <w:szCs w:val="24"/>
        </w:rPr>
      </w:pPr>
      <w:r>
        <w:rPr>
          <w:rFonts w:ascii="宋体" w:hAnsi="宋体"/>
          <w:b/>
          <w:bCs/>
          <w:color w:val="0D0D0D"/>
          <w:spacing w:val="2"/>
          <w:sz w:val="24"/>
          <w:szCs w:val="24"/>
        </w:rPr>
        <w:t xml:space="preserve">2. </w:t>
      </w:r>
      <w:r>
        <w:rPr>
          <w:rFonts w:ascii="宋体" w:hAnsi="宋体" w:hint="eastAsia"/>
          <w:b/>
          <w:bCs/>
          <w:color w:val="0D0D0D"/>
          <w:spacing w:val="2"/>
          <w:sz w:val="24"/>
          <w:szCs w:val="24"/>
        </w:rPr>
        <w:t>推荐意见</w:t>
      </w:r>
    </w:p>
    <w:p w14:paraId="011DF992" w14:textId="77777777" w:rsidR="0095202E" w:rsidRDefault="00156101">
      <w:pPr>
        <w:pStyle w:val="a7"/>
        <w:autoSpaceDE w:val="0"/>
        <w:spacing w:before="60" w:beforeAutospacing="0" w:after="60" w:afterAutospacing="0" w:line="360" w:lineRule="auto"/>
        <w:ind w:firstLineChars="285" w:firstLine="695"/>
        <w:jc w:val="both"/>
        <w:rPr>
          <w:rFonts w:ascii="Times New Roman" w:hAnsi="Times New Roman" w:cs="Times New Roman"/>
          <w:color w:val="0D0D0D"/>
          <w:spacing w:val="2"/>
        </w:rPr>
      </w:pPr>
      <w:r>
        <w:rPr>
          <w:rFonts w:ascii="Times New Roman" w:hAnsi="Times New Roman" w:cs="Times New Roman"/>
          <w:color w:val="0D0D0D"/>
          <w:spacing w:val="2"/>
        </w:rPr>
        <w:t>本研究</w:t>
      </w:r>
      <w:r>
        <w:rPr>
          <w:rFonts w:ascii="Times New Roman" w:hAnsi="Times New Roman" w:cs="Times New Roman"/>
        </w:rPr>
        <w:t>聚焦人群常见病和高发病，立足于西北农村地区，关注室内空气质量对女性高血压患者体内免疫、血压等健康相关指标的影响，探讨多环芳烃</w:t>
      </w:r>
      <w:r>
        <w:rPr>
          <w:rFonts w:ascii="Times New Roman" w:hAnsi="Times New Roman" w:cs="Times New Roman" w:hint="eastAsia"/>
        </w:rPr>
        <w:t>（</w:t>
      </w:r>
      <w:r>
        <w:rPr>
          <w:rFonts w:ascii="Times New Roman" w:hAnsi="Times New Roman" w:cs="Times New Roman" w:hint="eastAsia"/>
        </w:rPr>
        <w:t>PAHs</w:t>
      </w:r>
      <w:r>
        <w:rPr>
          <w:rFonts w:ascii="Times New Roman" w:hAnsi="Times New Roman" w:cs="Times New Roman" w:hint="eastAsia"/>
        </w:rPr>
        <w:t>）</w:t>
      </w:r>
      <w:r>
        <w:rPr>
          <w:rFonts w:ascii="Times New Roman" w:hAnsi="Times New Roman" w:cs="Times New Roman"/>
        </w:rPr>
        <w:t>及其代谢物水平与免疫、血压等健康相关指标之间的关系，进一步采用多组学联合研究室内空气污染物</w:t>
      </w:r>
      <w:r>
        <w:rPr>
          <w:rFonts w:ascii="Times New Roman" w:hAnsi="Times New Roman" w:cs="Times New Roman" w:hint="eastAsia"/>
        </w:rPr>
        <w:t>低分子量</w:t>
      </w:r>
      <w:r>
        <w:rPr>
          <w:rFonts w:ascii="Times New Roman" w:hAnsi="Times New Roman" w:cs="Times New Roman" w:hint="eastAsia"/>
        </w:rPr>
        <w:t>PAHs</w:t>
      </w:r>
      <w:r>
        <w:rPr>
          <w:rFonts w:ascii="Times New Roman" w:hAnsi="Times New Roman" w:cs="Times New Roman" w:hint="eastAsia"/>
        </w:rPr>
        <w:t>（</w:t>
      </w:r>
      <w:r>
        <w:rPr>
          <w:rFonts w:ascii="Times New Roman" w:hAnsi="Times New Roman" w:cs="Times New Roman"/>
        </w:rPr>
        <w:t>LMW-PAHs</w:t>
      </w:r>
      <w:r>
        <w:rPr>
          <w:rFonts w:ascii="Times New Roman" w:hAnsi="Times New Roman" w:cs="Times New Roman" w:hint="eastAsia"/>
        </w:rPr>
        <w:t>）</w:t>
      </w:r>
      <w:r>
        <w:rPr>
          <w:rFonts w:ascii="Times New Roman" w:hAnsi="Times New Roman" w:cs="Times New Roman"/>
        </w:rPr>
        <w:t>对人群</w:t>
      </w:r>
      <w:r>
        <w:rPr>
          <w:rFonts w:ascii="Times New Roman" w:hAnsi="Times New Roman" w:cs="Times New Roman"/>
        </w:rPr>
        <w:t>-</w:t>
      </w:r>
      <w:r>
        <w:rPr>
          <w:rFonts w:ascii="Times New Roman" w:hAnsi="Times New Roman" w:cs="Times New Roman"/>
        </w:rPr>
        <w:t>动物</w:t>
      </w:r>
      <w:r>
        <w:rPr>
          <w:rFonts w:ascii="Times New Roman" w:hAnsi="Times New Roman" w:cs="Times New Roman"/>
        </w:rPr>
        <w:t>-</w:t>
      </w:r>
      <w:r>
        <w:rPr>
          <w:rFonts w:ascii="Times New Roman" w:hAnsi="Times New Roman" w:cs="Times New Roman"/>
        </w:rPr>
        <w:t>细胞的免疫紊乱机制，可为</w:t>
      </w:r>
      <w:r>
        <w:rPr>
          <w:rFonts w:ascii="Times New Roman" w:hAnsi="Times New Roman" w:cs="Times New Roman"/>
        </w:rPr>
        <w:t>PAHs</w:t>
      </w:r>
      <w:r>
        <w:rPr>
          <w:rFonts w:ascii="Times New Roman" w:hAnsi="Times New Roman" w:cs="Times New Roman"/>
        </w:rPr>
        <w:t>免疫毒性的防治提供理论依据。</w:t>
      </w:r>
      <w:r>
        <w:rPr>
          <w:rFonts w:ascii="Times New Roman" w:hAnsi="Times New Roman" w:cs="Times New Roman"/>
          <w:color w:val="0D0D0D"/>
          <w:spacing w:val="2"/>
        </w:rPr>
        <w:t>主要的创新点有</w:t>
      </w:r>
      <w:r>
        <w:rPr>
          <w:rFonts w:ascii="Times New Roman" w:hAnsi="Times New Roman" w:cs="Times New Roman" w:hint="eastAsia"/>
          <w:color w:val="0D0D0D"/>
          <w:spacing w:val="2"/>
        </w:rPr>
        <w:t>（</w:t>
      </w:r>
      <w:r>
        <w:rPr>
          <w:rFonts w:ascii="Times New Roman" w:hAnsi="Times New Roman" w:cs="Times New Roman" w:hint="eastAsia"/>
          <w:color w:val="0D0D0D"/>
          <w:spacing w:val="2"/>
        </w:rPr>
        <w:t>1</w:t>
      </w:r>
      <w:r>
        <w:rPr>
          <w:rFonts w:ascii="Times New Roman" w:hAnsi="Times New Roman" w:cs="Times New Roman" w:hint="eastAsia"/>
          <w:color w:val="0D0D0D"/>
          <w:spacing w:val="2"/>
        </w:rPr>
        <w:t>）</w:t>
      </w:r>
      <w:r>
        <w:rPr>
          <w:rFonts w:ascii="Times New Roman" w:hAnsi="Times New Roman" w:cs="Times New Roman"/>
        </w:rPr>
        <w:t>本项目通过控制人群差异性和其它变异性，更科学地阐明农村室内</w:t>
      </w:r>
      <w:r>
        <w:rPr>
          <w:rFonts w:ascii="Times New Roman" w:hAnsi="Times New Roman" w:cs="Times New Roman"/>
        </w:rPr>
        <w:t>PAHs</w:t>
      </w:r>
      <w:r>
        <w:rPr>
          <w:rFonts w:ascii="Times New Roman" w:hAnsi="Times New Roman" w:cs="Times New Roman"/>
        </w:rPr>
        <w:t>尤其是</w:t>
      </w:r>
      <w:r>
        <w:rPr>
          <w:rFonts w:ascii="Times New Roman" w:hAnsi="Times New Roman" w:cs="Times New Roman"/>
        </w:rPr>
        <w:t>LMW-PAHs</w:t>
      </w:r>
      <w:r>
        <w:rPr>
          <w:rFonts w:ascii="Times New Roman" w:hAnsi="Times New Roman" w:cs="Times New Roman"/>
        </w:rPr>
        <w:t>暴露对女性高血压和免疫影响，填补了西北农村家庭空气污染与心血管健康的流行病学研究领域空白；</w:t>
      </w:r>
      <w:r>
        <w:rPr>
          <w:rFonts w:ascii="Times New Roman" w:hAnsi="Times New Roman" w:cs="Times New Roman" w:hint="eastAsia"/>
        </w:rPr>
        <w:t>（</w:t>
      </w:r>
      <w:r>
        <w:rPr>
          <w:rFonts w:ascii="Times New Roman" w:hAnsi="Times New Roman" w:cs="Times New Roman" w:hint="eastAsia"/>
        </w:rPr>
        <w:t>2</w:t>
      </w:r>
      <w:r>
        <w:rPr>
          <w:rFonts w:ascii="Times New Roman" w:hAnsi="Times New Roman" w:cs="Times New Roman" w:hint="eastAsia"/>
        </w:rPr>
        <w:t>）</w:t>
      </w:r>
      <w:r>
        <w:rPr>
          <w:rFonts w:ascii="Times New Roman" w:hAnsi="Times New Roman" w:cs="Times New Roman"/>
        </w:rPr>
        <w:t>本项目基于现场流行病学研究，通过体内外结合方法构建</w:t>
      </w:r>
      <w:r>
        <w:rPr>
          <w:rFonts w:ascii="Times New Roman" w:hAnsi="Times New Roman" w:cs="Times New Roman"/>
        </w:rPr>
        <w:t>LMW-PAHs</w:t>
      </w:r>
      <w:r>
        <w:rPr>
          <w:rFonts w:ascii="Times New Roman" w:hAnsi="Times New Roman" w:cs="Times New Roman"/>
        </w:rPr>
        <w:t>染毒动物和染毒</w:t>
      </w:r>
      <w:r>
        <w:rPr>
          <w:rFonts w:ascii="Times New Roman" w:hAnsi="Times New Roman" w:cs="Times New Roman"/>
        </w:rPr>
        <w:t>A549</w:t>
      </w:r>
      <w:r>
        <w:rPr>
          <w:rFonts w:ascii="Times New Roman" w:hAnsi="Times New Roman" w:cs="Times New Roman"/>
        </w:rPr>
        <w:t>细胞模型，采用高通量测序技术及生物信息学技术，找寻</w:t>
      </w:r>
      <w:r>
        <w:rPr>
          <w:rFonts w:ascii="Times New Roman" w:hAnsi="Times New Roman" w:cs="Times New Roman"/>
        </w:rPr>
        <w:t>LMW-PAHs</w:t>
      </w:r>
      <w:r>
        <w:rPr>
          <w:rFonts w:ascii="Times New Roman" w:hAnsi="Times New Roman" w:cs="Times New Roman"/>
        </w:rPr>
        <w:t>致炎症作用的</w:t>
      </w:r>
      <w:proofErr w:type="spellStart"/>
      <w:r>
        <w:rPr>
          <w:rFonts w:ascii="Times New Roman" w:hAnsi="Times New Roman" w:cs="Times New Roman"/>
        </w:rPr>
        <w:t>circRNA</w:t>
      </w:r>
      <w:proofErr w:type="spellEnd"/>
      <w:r>
        <w:rPr>
          <w:rFonts w:ascii="Times New Roman" w:hAnsi="Times New Roman" w:cs="Times New Roman"/>
        </w:rPr>
        <w:t>-miRNA-mRNA</w:t>
      </w:r>
      <w:r>
        <w:rPr>
          <w:rFonts w:ascii="Times New Roman" w:hAnsi="Times New Roman" w:cs="Times New Roman"/>
        </w:rPr>
        <w:t>调控轴，构建</w:t>
      </w:r>
      <w:proofErr w:type="spellStart"/>
      <w:r>
        <w:rPr>
          <w:rFonts w:ascii="Times New Roman" w:hAnsi="Times New Roman" w:cs="Times New Roman"/>
        </w:rPr>
        <w:t>ceRNA</w:t>
      </w:r>
      <w:proofErr w:type="spellEnd"/>
      <w:r>
        <w:rPr>
          <w:rFonts w:ascii="Times New Roman" w:hAnsi="Times New Roman" w:cs="Times New Roman"/>
        </w:rPr>
        <w:t>网络，从分子角度明确</w:t>
      </w:r>
      <w:r>
        <w:rPr>
          <w:rFonts w:ascii="Times New Roman" w:hAnsi="Times New Roman" w:cs="Times New Roman"/>
        </w:rPr>
        <w:t>LMW-PAHs</w:t>
      </w:r>
      <w:r>
        <w:rPr>
          <w:rFonts w:ascii="Times New Roman" w:hAnsi="Times New Roman" w:cs="Times New Roman"/>
        </w:rPr>
        <w:t>致炎症反应信号通路激活的目标基因及其转录调控规律，为发现相关早期诊断</w:t>
      </w:r>
      <w:r>
        <w:rPr>
          <w:rFonts w:ascii="Times New Roman" w:hAnsi="Times New Roman" w:cs="Times New Roman"/>
        </w:rPr>
        <w:t>和治疗的分子标志</w:t>
      </w:r>
      <w:proofErr w:type="gramStart"/>
      <w:r>
        <w:rPr>
          <w:rFonts w:ascii="Times New Roman" w:hAnsi="Times New Roman" w:cs="Times New Roman"/>
        </w:rPr>
        <w:t>物提供</w:t>
      </w:r>
      <w:proofErr w:type="gramEnd"/>
      <w:r>
        <w:rPr>
          <w:rFonts w:ascii="Times New Roman" w:hAnsi="Times New Roman" w:cs="Times New Roman"/>
        </w:rPr>
        <w:t>科学依据，</w:t>
      </w:r>
      <w:r>
        <w:rPr>
          <w:rFonts w:ascii="Times New Roman" w:hAnsi="Times New Roman" w:cs="Times New Roman"/>
          <w:color w:val="0D0D0D"/>
          <w:spacing w:val="2"/>
        </w:rPr>
        <w:t>目前研究成果已应用于</w:t>
      </w:r>
      <w:r>
        <w:rPr>
          <w:rFonts w:ascii="Times New Roman" w:hAnsi="Times New Roman" w:cs="Times New Roman" w:hint="eastAsia"/>
          <w:color w:val="0D0D0D"/>
          <w:spacing w:val="2"/>
        </w:rPr>
        <w:t>多个</w:t>
      </w:r>
      <w:r>
        <w:rPr>
          <w:rFonts w:ascii="Times New Roman" w:hAnsi="Times New Roman" w:cs="Times New Roman"/>
          <w:color w:val="0D0D0D"/>
          <w:spacing w:val="2"/>
        </w:rPr>
        <w:t>县区医院，意义重大、值得推荐。</w:t>
      </w:r>
    </w:p>
    <w:p w14:paraId="75FC059E" w14:textId="77777777" w:rsidR="0095202E" w:rsidRDefault="00156101">
      <w:pPr>
        <w:widowControl/>
        <w:adjustRightInd w:val="0"/>
        <w:snapToGrid w:val="0"/>
        <w:spacing w:after="200" w:line="500" w:lineRule="exact"/>
        <w:jc w:val="left"/>
        <w:rPr>
          <w:rFonts w:ascii="宋体" w:hAnsi="宋体"/>
          <w:b/>
          <w:bCs/>
          <w:color w:val="0D0D0D"/>
          <w:spacing w:val="2"/>
          <w:sz w:val="24"/>
          <w:szCs w:val="24"/>
        </w:rPr>
      </w:pPr>
      <w:r>
        <w:rPr>
          <w:rFonts w:ascii="宋体" w:hAnsi="宋体" w:hint="eastAsia"/>
          <w:b/>
          <w:bCs/>
          <w:color w:val="0D0D0D"/>
          <w:spacing w:val="2"/>
          <w:sz w:val="24"/>
          <w:szCs w:val="24"/>
        </w:rPr>
        <w:t>3</w:t>
      </w:r>
      <w:r>
        <w:rPr>
          <w:rFonts w:ascii="宋体" w:hAnsi="宋体"/>
          <w:b/>
          <w:bCs/>
          <w:color w:val="0D0D0D"/>
          <w:spacing w:val="2"/>
          <w:sz w:val="24"/>
          <w:szCs w:val="24"/>
        </w:rPr>
        <w:t xml:space="preserve">. </w:t>
      </w:r>
      <w:r>
        <w:rPr>
          <w:rFonts w:ascii="宋体" w:hAnsi="宋体" w:hint="eastAsia"/>
          <w:b/>
          <w:bCs/>
          <w:color w:val="0D0D0D"/>
          <w:spacing w:val="2"/>
          <w:sz w:val="24"/>
          <w:szCs w:val="24"/>
        </w:rPr>
        <w:t>项目简介</w:t>
      </w:r>
    </w:p>
    <w:p w14:paraId="60706559" w14:textId="77777777" w:rsidR="0095202E" w:rsidRDefault="00156101">
      <w:pPr>
        <w:widowControl/>
        <w:adjustRightInd w:val="0"/>
        <w:snapToGrid w:val="0"/>
        <w:spacing w:after="200" w:line="500" w:lineRule="exact"/>
        <w:ind w:firstLineChars="200" w:firstLine="480"/>
        <w:rPr>
          <w:sz w:val="24"/>
          <w:szCs w:val="24"/>
        </w:rPr>
      </w:pPr>
      <w:r>
        <w:rPr>
          <w:sz w:val="24"/>
          <w:szCs w:val="24"/>
        </w:rPr>
        <w:t>高血压是中国发病率最高的疾病，也是引起心血管病的主要危险因素，而心血管病已经成为中国城乡居民首要总死亡原因，由此带来的社会、经济负担巨大。空气污染作为高血压重要环境风险因素，已逐渐成为公共卫生领域关注焦点，</w:t>
      </w:r>
      <w:r>
        <w:rPr>
          <w:rStyle w:val="a8"/>
          <w:b w:val="0"/>
          <w:bCs w:val="0"/>
          <w:sz w:val="24"/>
          <w:szCs w:val="24"/>
        </w:rPr>
        <w:t>但其现场结合深入分子机制研究尚少见报道</w:t>
      </w:r>
      <w:r>
        <w:rPr>
          <w:sz w:val="24"/>
          <w:szCs w:val="24"/>
        </w:rPr>
        <w:t>。因此，</w:t>
      </w:r>
      <w:r>
        <w:rPr>
          <w:rStyle w:val="a8"/>
          <w:b w:val="0"/>
          <w:bCs w:val="0"/>
          <w:sz w:val="24"/>
          <w:szCs w:val="24"/>
        </w:rPr>
        <w:t>本研究首先</w:t>
      </w:r>
      <w:r>
        <w:rPr>
          <w:sz w:val="24"/>
          <w:szCs w:val="24"/>
        </w:rPr>
        <w:t>，以甘肃省农村地区</w:t>
      </w:r>
      <w:r>
        <w:rPr>
          <w:sz w:val="24"/>
          <w:szCs w:val="24"/>
        </w:rPr>
        <w:t>35-75</w:t>
      </w:r>
      <w:r>
        <w:rPr>
          <w:sz w:val="24"/>
          <w:szCs w:val="24"/>
        </w:rPr>
        <w:t>岁高血压妇女人群为研究对象，于非采暖和采暖期期进行现场研究对象问卷调查，血压等基本健康指标测定；监测研究对象活动室内</w:t>
      </w:r>
      <w:r>
        <w:rPr>
          <w:sz w:val="24"/>
          <w:szCs w:val="24"/>
        </w:rPr>
        <w:t>PM2.5</w:t>
      </w:r>
      <w:r>
        <w:rPr>
          <w:sz w:val="24"/>
          <w:szCs w:val="24"/>
        </w:rPr>
        <w:t>、多环芳烃（</w:t>
      </w:r>
      <w:r>
        <w:rPr>
          <w:sz w:val="24"/>
          <w:szCs w:val="24"/>
        </w:rPr>
        <w:t>PAHs</w:t>
      </w:r>
      <w:r>
        <w:rPr>
          <w:sz w:val="24"/>
          <w:szCs w:val="24"/>
        </w:rPr>
        <w:t>）和尼古丁水平；检测研究对象尿样中</w:t>
      </w:r>
      <w:r>
        <w:rPr>
          <w:sz w:val="24"/>
          <w:szCs w:val="24"/>
        </w:rPr>
        <w:t>PAHs</w:t>
      </w:r>
      <w:r>
        <w:rPr>
          <w:sz w:val="24"/>
          <w:szCs w:val="24"/>
        </w:rPr>
        <w:t>代谢产物和</w:t>
      </w:r>
      <w:r>
        <w:rPr>
          <w:sz w:val="24"/>
          <w:szCs w:val="24"/>
        </w:rPr>
        <w:t>8-</w:t>
      </w:r>
      <w:r>
        <w:rPr>
          <w:sz w:val="24"/>
          <w:szCs w:val="24"/>
        </w:rPr>
        <w:t>羟基脱氧鸟苷水平（</w:t>
      </w:r>
      <w:r>
        <w:rPr>
          <w:sz w:val="24"/>
          <w:szCs w:val="24"/>
        </w:rPr>
        <w:t>8</w:t>
      </w:r>
      <w:r>
        <w:rPr>
          <w:sz w:val="24"/>
          <w:szCs w:val="24"/>
        </w:rPr>
        <w:t>-OHdG</w:t>
      </w:r>
      <w:r>
        <w:rPr>
          <w:sz w:val="24"/>
          <w:szCs w:val="24"/>
        </w:rPr>
        <w:t>）、血液中免疫相关指标，</w:t>
      </w:r>
      <w:r>
        <w:rPr>
          <w:rStyle w:val="a8"/>
          <w:b w:val="0"/>
          <w:bCs w:val="0"/>
          <w:sz w:val="24"/>
          <w:szCs w:val="24"/>
        </w:rPr>
        <w:t>明确农村地区室内空气污染和高血压及免疫损伤关系</w:t>
      </w:r>
      <w:r>
        <w:rPr>
          <w:sz w:val="24"/>
          <w:szCs w:val="24"/>
        </w:rPr>
        <w:t>；</w:t>
      </w:r>
      <w:r>
        <w:rPr>
          <w:rStyle w:val="a8"/>
          <w:b w:val="0"/>
          <w:bCs w:val="0"/>
          <w:sz w:val="24"/>
          <w:szCs w:val="24"/>
        </w:rPr>
        <w:t>其次</w:t>
      </w:r>
      <w:r>
        <w:rPr>
          <w:sz w:val="24"/>
          <w:szCs w:val="24"/>
        </w:rPr>
        <w:t>，基于现场研究结果，建立现场</w:t>
      </w:r>
      <w:r>
        <w:rPr>
          <w:sz w:val="24"/>
          <w:szCs w:val="24"/>
        </w:rPr>
        <w:t>PAHs</w:t>
      </w:r>
      <w:r>
        <w:rPr>
          <w:sz w:val="24"/>
          <w:szCs w:val="24"/>
        </w:rPr>
        <w:t>含量</w:t>
      </w:r>
      <w:proofErr w:type="gramStart"/>
      <w:r>
        <w:rPr>
          <w:sz w:val="24"/>
          <w:szCs w:val="24"/>
        </w:rPr>
        <w:t>最</w:t>
      </w:r>
      <w:proofErr w:type="gramEnd"/>
      <w:r>
        <w:rPr>
          <w:sz w:val="24"/>
          <w:szCs w:val="24"/>
        </w:rPr>
        <w:t>高低分子量</w:t>
      </w:r>
      <w:r>
        <w:rPr>
          <w:sz w:val="24"/>
          <w:szCs w:val="24"/>
        </w:rPr>
        <w:t>-PAHs</w:t>
      </w:r>
      <w:r>
        <w:rPr>
          <w:sz w:val="24"/>
          <w:szCs w:val="24"/>
        </w:rPr>
        <w:t>（</w:t>
      </w:r>
      <w:r>
        <w:rPr>
          <w:sz w:val="24"/>
          <w:szCs w:val="24"/>
        </w:rPr>
        <w:t>LMW-PAHs</w:t>
      </w:r>
      <w:r>
        <w:rPr>
          <w:sz w:val="24"/>
          <w:szCs w:val="24"/>
        </w:rPr>
        <w:t>）菲（</w:t>
      </w:r>
      <w:proofErr w:type="spellStart"/>
      <w:r>
        <w:rPr>
          <w:sz w:val="24"/>
          <w:szCs w:val="24"/>
        </w:rPr>
        <w:t>Phe</w:t>
      </w:r>
      <w:proofErr w:type="spellEnd"/>
      <w:r>
        <w:rPr>
          <w:sz w:val="24"/>
          <w:szCs w:val="24"/>
        </w:rPr>
        <w:t>）染毒动物模型，</w:t>
      </w:r>
      <w:r>
        <w:rPr>
          <w:rStyle w:val="a8"/>
          <w:b w:val="0"/>
          <w:bCs w:val="0"/>
          <w:sz w:val="24"/>
          <w:szCs w:val="24"/>
        </w:rPr>
        <w:t>探讨</w:t>
      </w:r>
      <w:proofErr w:type="spellStart"/>
      <w:r>
        <w:rPr>
          <w:rStyle w:val="a8"/>
          <w:b w:val="0"/>
          <w:bCs w:val="0"/>
          <w:sz w:val="24"/>
          <w:szCs w:val="24"/>
        </w:rPr>
        <w:t>Phe</w:t>
      </w:r>
      <w:proofErr w:type="spellEnd"/>
      <w:r>
        <w:rPr>
          <w:rStyle w:val="a8"/>
          <w:b w:val="0"/>
          <w:bCs w:val="0"/>
          <w:sz w:val="24"/>
          <w:szCs w:val="24"/>
        </w:rPr>
        <w:t>对雌性大</w:t>
      </w:r>
      <w:proofErr w:type="gramStart"/>
      <w:r>
        <w:rPr>
          <w:rStyle w:val="a8"/>
          <w:b w:val="0"/>
          <w:bCs w:val="0"/>
          <w:sz w:val="24"/>
          <w:szCs w:val="24"/>
        </w:rPr>
        <w:t>鼠肺氧</w:t>
      </w:r>
      <w:proofErr w:type="gramEnd"/>
      <w:r>
        <w:rPr>
          <w:rStyle w:val="a8"/>
          <w:b w:val="0"/>
          <w:bCs w:val="0"/>
          <w:sz w:val="24"/>
          <w:szCs w:val="24"/>
        </w:rPr>
        <w:t>化应激</w:t>
      </w:r>
      <w:r>
        <w:rPr>
          <w:rStyle w:val="a8"/>
          <w:b w:val="0"/>
          <w:bCs w:val="0"/>
          <w:sz w:val="24"/>
          <w:szCs w:val="24"/>
        </w:rPr>
        <w:lastRenderedPageBreak/>
        <w:t>及炎症的影响，明确其发生的可能机制</w:t>
      </w:r>
      <w:r>
        <w:rPr>
          <w:sz w:val="24"/>
          <w:szCs w:val="24"/>
        </w:rPr>
        <w:t>；最后，采用体外细胞实验，现场含量较高的</w:t>
      </w:r>
      <w:r>
        <w:rPr>
          <w:sz w:val="24"/>
          <w:szCs w:val="24"/>
        </w:rPr>
        <w:t xml:space="preserve">LMW-PAHs </w:t>
      </w:r>
      <w:proofErr w:type="spellStart"/>
      <w:r>
        <w:rPr>
          <w:sz w:val="24"/>
          <w:szCs w:val="24"/>
        </w:rPr>
        <w:t>Phe</w:t>
      </w:r>
      <w:proofErr w:type="spellEnd"/>
      <w:r>
        <w:rPr>
          <w:sz w:val="24"/>
          <w:szCs w:val="24"/>
        </w:rPr>
        <w:t>和</w:t>
      </w:r>
      <w:proofErr w:type="gramStart"/>
      <w:r>
        <w:rPr>
          <w:sz w:val="24"/>
          <w:szCs w:val="24"/>
        </w:rPr>
        <w:t>芴</w:t>
      </w:r>
      <w:proofErr w:type="gramEnd"/>
      <w:r>
        <w:rPr>
          <w:sz w:val="24"/>
          <w:szCs w:val="24"/>
        </w:rPr>
        <w:t>（</w:t>
      </w:r>
      <w:r>
        <w:rPr>
          <w:sz w:val="24"/>
          <w:szCs w:val="24"/>
        </w:rPr>
        <w:t>Flu</w:t>
      </w:r>
      <w:r>
        <w:rPr>
          <w:sz w:val="24"/>
          <w:szCs w:val="24"/>
        </w:rPr>
        <w:t>）染毒</w:t>
      </w:r>
      <w:r>
        <w:rPr>
          <w:sz w:val="24"/>
          <w:szCs w:val="24"/>
        </w:rPr>
        <w:t>A549</w:t>
      </w:r>
      <w:r>
        <w:rPr>
          <w:sz w:val="24"/>
          <w:szCs w:val="24"/>
        </w:rPr>
        <w:t>细胞，研究</w:t>
      </w:r>
      <w:r>
        <w:rPr>
          <w:sz w:val="24"/>
          <w:szCs w:val="24"/>
        </w:rPr>
        <w:t>PI3K/AKT</w:t>
      </w:r>
      <w:r>
        <w:rPr>
          <w:sz w:val="24"/>
          <w:szCs w:val="24"/>
        </w:rPr>
        <w:t>和</w:t>
      </w:r>
      <w:r>
        <w:rPr>
          <w:sz w:val="24"/>
          <w:szCs w:val="24"/>
        </w:rPr>
        <w:t>NF-</w:t>
      </w:r>
      <w:proofErr w:type="spellStart"/>
      <w:r>
        <w:rPr>
          <w:sz w:val="24"/>
          <w:szCs w:val="24"/>
        </w:rPr>
        <w:t>κB</w:t>
      </w:r>
      <w:proofErr w:type="spellEnd"/>
      <w:r>
        <w:rPr>
          <w:sz w:val="24"/>
          <w:szCs w:val="24"/>
        </w:rPr>
        <w:t>信号通路在</w:t>
      </w:r>
      <w:r>
        <w:rPr>
          <w:sz w:val="24"/>
          <w:szCs w:val="24"/>
        </w:rPr>
        <w:t>LMW-PAHs</w:t>
      </w:r>
      <w:r>
        <w:rPr>
          <w:sz w:val="24"/>
          <w:szCs w:val="24"/>
        </w:rPr>
        <w:t>致</w:t>
      </w:r>
      <w:r>
        <w:rPr>
          <w:sz w:val="24"/>
          <w:szCs w:val="24"/>
        </w:rPr>
        <w:t>A549</w:t>
      </w:r>
      <w:r>
        <w:rPr>
          <w:sz w:val="24"/>
          <w:szCs w:val="24"/>
        </w:rPr>
        <w:t>细胞氧化应激和炎症反应中作用，并构建内源性竞争结合（</w:t>
      </w:r>
      <w:proofErr w:type="spellStart"/>
      <w:r>
        <w:rPr>
          <w:sz w:val="24"/>
          <w:szCs w:val="24"/>
        </w:rPr>
        <w:t>ceRNA</w:t>
      </w:r>
      <w:proofErr w:type="spellEnd"/>
      <w:r>
        <w:rPr>
          <w:sz w:val="24"/>
          <w:szCs w:val="24"/>
        </w:rPr>
        <w:t>）网络，找寻确定的</w:t>
      </w:r>
      <w:proofErr w:type="spellStart"/>
      <w:r>
        <w:rPr>
          <w:sz w:val="24"/>
          <w:szCs w:val="24"/>
        </w:rPr>
        <w:t>circR</w:t>
      </w:r>
      <w:r>
        <w:rPr>
          <w:sz w:val="24"/>
          <w:szCs w:val="24"/>
        </w:rPr>
        <w:t>NA</w:t>
      </w:r>
      <w:proofErr w:type="spellEnd"/>
      <w:r>
        <w:rPr>
          <w:sz w:val="24"/>
          <w:szCs w:val="24"/>
        </w:rPr>
        <w:t>-miRNA-mRNA</w:t>
      </w:r>
      <w:r>
        <w:rPr>
          <w:sz w:val="24"/>
          <w:szCs w:val="24"/>
        </w:rPr>
        <w:t>调控轴，</w:t>
      </w:r>
      <w:r>
        <w:rPr>
          <w:rStyle w:val="a8"/>
          <w:b w:val="0"/>
          <w:bCs w:val="0"/>
          <w:sz w:val="24"/>
          <w:szCs w:val="24"/>
        </w:rPr>
        <w:t>探索</w:t>
      </w:r>
      <w:r>
        <w:rPr>
          <w:rStyle w:val="a8"/>
          <w:b w:val="0"/>
          <w:bCs w:val="0"/>
          <w:sz w:val="24"/>
          <w:szCs w:val="24"/>
        </w:rPr>
        <w:t>LMW-PAHs</w:t>
      </w:r>
      <w:r>
        <w:rPr>
          <w:rStyle w:val="a8"/>
          <w:b w:val="0"/>
          <w:bCs w:val="0"/>
          <w:sz w:val="24"/>
          <w:szCs w:val="24"/>
        </w:rPr>
        <w:t>诱导炎症反应的转录调控规律及分子机制，寻找</w:t>
      </w:r>
      <w:r>
        <w:rPr>
          <w:rStyle w:val="a8"/>
          <w:b w:val="0"/>
          <w:bCs w:val="0"/>
          <w:sz w:val="24"/>
          <w:szCs w:val="24"/>
        </w:rPr>
        <w:t>LMW-PAHs</w:t>
      </w:r>
      <w:r>
        <w:rPr>
          <w:rStyle w:val="a8"/>
          <w:b w:val="0"/>
          <w:bCs w:val="0"/>
          <w:sz w:val="24"/>
          <w:szCs w:val="24"/>
        </w:rPr>
        <w:t>暴露致炎症生物标志物</w:t>
      </w:r>
      <w:r>
        <w:rPr>
          <w:sz w:val="24"/>
          <w:szCs w:val="24"/>
        </w:rPr>
        <w:t>。</w:t>
      </w:r>
      <w:r>
        <w:rPr>
          <w:rStyle w:val="a8"/>
          <w:b w:val="0"/>
          <w:bCs w:val="0"/>
          <w:sz w:val="24"/>
          <w:szCs w:val="24"/>
        </w:rPr>
        <w:t>研究结果显示：（</w:t>
      </w:r>
      <w:r>
        <w:rPr>
          <w:rStyle w:val="a8"/>
          <w:b w:val="0"/>
          <w:bCs w:val="0"/>
          <w:sz w:val="24"/>
          <w:szCs w:val="24"/>
        </w:rPr>
        <w:t>1</w:t>
      </w:r>
      <w:r>
        <w:rPr>
          <w:rStyle w:val="a8"/>
          <w:b w:val="0"/>
          <w:bCs w:val="0"/>
          <w:sz w:val="24"/>
          <w:szCs w:val="24"/>
        </w:rPr>
        <w:t>）</w:t>
      </w:r>
      <w:r>
        <w:rPr>
          <w:sz w:val="24"/>
          <w:szCs w:val="24"/>
        </w:rPr>
        <w:t>农村妇女采暖季室内空气</w:t>
      </w:r>
      <w:r>
        <w:rPr>
          <w:sz w:val="24"/>
          <w:szCs w:val="24"/>
        </w:rPr>
        <w:t>PM2.5</w:t>
      </w:r>
      <w:r>
        <w:rPr>
          <w:sz w:val="24"/>
          <w:szCs w:val="24"/>
        </w:rPr>
        <w:t>、</w:t>
      </w:r>
      <w:r>
        <w:rPr>
          <w:sz w:val="24"/>
          <w:szCs w:val="24"/>
        </w:rPr>
        <w:t>PAHs</w:t>
      </w:r>
      <w:r>
        <w:rPr>
          <w:sz w:val="24"/>
          <w:szCs w:val="24"/>
        </w:rPr>
        <w:t>和尼古丁平均浓度均显著高于非采暖季，且</w:t>
      </w:r>
      <w:r>
        <w:rPr>
          <w:sz w:val="24"/>
          <w:szCs w:val="24"/>
        </w:rPr>
        <w:t>16</w:t>
      </w:r>
      <w:r>
        <w:rPr>
          <w:sz w:val="24"/>
          <w:szCs w:val="24"/>
        </w:rPr>
        <w:t>种</w:t>
      </w:r>
      <w:r>
        <w:rPr>
          <w:sz w:val="24"/>
          <w:szCs w:val="24"/>
        </w:rPr>
        <w:t>EPA</w:t>
      </w:r>
      <w:r>
        <w:rPr>
          <w:sz w:val="24"/>
          <w:szCs w:val="24"/>
        </w:rPr>
        <w:t>建议优先控制的</w:t>
      </w:r>
      <w:r>
        <w:rPr>
          <w:sz w:val="24"/>
          <w:szCs w:val="24"/>
        </w:rPr>
        <w:t>PAHs</w:t>
      </w:r>
      <w:r>
        <w:rPr>
          <w:sz w:val="24"/>
          <w:szCs w:val="24"/>
        </w:rPr>
        <w:t>中，</w:t>
      </w:r>
      <w:proofErr w:type="spellStart"/>
      <w:r>
        <w:rPr>
          <w:sz w:val="24"/>
          <w:szCs w:val="24"/>
        </w:rPr>
        <w:t>Phe</w:t>
      </w:r>
      <w:proofErr w:type="spellEnd"/>
      <w:r>
        <w:rPr>
          <w:sz w:val="24"/>
          <w:szCs w:val="24"/>
        </w:rPr>
        <w:t>和</w:t>
      </w:r>
      <w:r>
        <w:rPr>
          <w:sz w:val="24"/>
          <w:szCs w:val="24"/>
        </w:rPr>
        <w:t>Flu</w:t>
      </w:r>
      <w:r>
        <w:rPr>
          <w:sz w:val="24"/>
          <w:szCs w:val="24"/>
        </w:rPr>
        <w:t>浓度均较高；收缩压和舒张压有明显的季节变化且采暖季收缩压显著高于县城对象；非采暖季，尿中</w:t>
      </w:r>
      <w:r>
        <w:rPr>
          <w:sz w:val="24"/>
          <w:szCs w:val="24"/>
        </w:rPr>
        <w:t>PAHs</w:t>
      </w:r>
      <w:r>
        <w:rPr>
          <w:sz w:val="24"/>
          <w:szCs w:val="24"/>
        </w:rPr>
        <w:t>代谢物</w:t>
      </w:r>
      <w:r>
        <w:rPr>
          <w:sz w:val="24"/>
          <w:szCs w:val="24"/>
        </w:rPr>
        <w:t>1-OHP</w:t>
      </w:r>
      <w:r>
        <w:rPr>
          <w:sz w:val="24"/>
          <w:szCs w:val="24"/>
        </w:rPr>
        <w:t>水平显著高于县城人群水平；采暖</w:t>
      </w:r>
      <w:proofErr w:type="gramStart"/>
      <w:r>
        <w:rPr>
          <w:sz w:val="24"/>
          <w:szCs w:val="24"/>
        </w:rPr>
        <w:t>季研究</w:t>
      </w:r>
      <w:proofErr w:type="gramEnd"/>
      <w:r>
        <w:rPr>
          <w:sz w:val="24"/>
          <w:szCs w:val="24"/>
        </w:rPr>
        <w:t>对象尿</w:t>
      </w:r>
      <w:r>
        <w:rPr>
          <w:sz w:val="24"/>
          <w:szCs w:val="24"/>
        </w:rPr>
        <w:t>1-OHP</w:t>
      </w:r>
      <w:r>
        <w:rPr>
          <w:sz w:val="24"/>
          <w:szCs w:val="24"/>
        </w:rPr>
        <w:t>、</w:t>
      </w:r>
      <w:r>
        <w:rPr>
          <w:sz w:val="24"/>
          <w:szCs w:val="24"/>
        </w:rPr>
        <w:t>MDA</w:t>
      </w:r>
      <w:r>
        <w:rPr>
          <w:sz w:val="24"/>
          <w:szCs w:val="24"/>
        </w:rPr>
        <w:t>、</w:t>
      </w:r>
      <w:r>
        <w:rPr>
          <w:sz w:val="24"/>
          <w:szCs w:val="24"/>
        </w:rPr>
        <w:t>SOD</w:t>
      </w:r>
      <w:r>
        <w:rPr>
          <w:sz w:val="24"/>
          <w:szCs w:val="24"/>
        </w:rPr>
        <w:t>和</w:t>
      </w:r>
      <w:r>
        <w:rPr>
          <w:sz w:val="24"/>
          <w:szCs w:val="24"/>
        </w:rPr>
        <w:t>8-OHdG</w:t>
      </w:r>
      <w:r>
        <w:rPr>
          <w:sz w:val="24"/>
          <w:szCs w:val="24"/>
        </w:rPr>
        <w:t>水平均显著高于非采暖季。混合效应</w:t>
      </w:r>
      <w:r>
        <w:rPr>
          <w:sz w:val="24"/>
          <w:szCs w:val="24"/>
        </w:rPr>
        <w:t>模型分析发现尿</w:t>
      </w:r>
      <w:r>
        <w:rPr>
          <w:sz w:val="24"/>
          <w:szCs w:val="24"/>
        </w:rPr>
        <w:t>1-OHP</w:t>
      </w:r>
      <w:r>
        <w:rPr>
          <w:sz w:val="24"/>
          <w:szCs w:val="24"/>
        </w:rPr>
        <w:t>和</w:t>
      </w:r>
      <w:r>
        <w:rPr>
          <w:sz w:val="24"/>
          <w:szCs w:val="24"/>
        </w:rPr>
        <w:t>8-OHdG</w:t>
      </w:r>
      <w:r>
        <w:rPr>
          <w:sz w:val="24"/>
          <w:szCs w:val="24"/>
        </w:rPr>
        <w:t>水平均与室内</w:t>
      </w:r>
      <w:r>
        <w:rPr>
          <w:sz w:val="24"/>
          <w:szCs w:val="24"/>
        </w:rPr>
        <w:t>PM2.5</w:t>
      </w:r>
      <w:r>
        <w:rPr>
          <w:sz w:val="24"/>
          <w:szCs w:val="24"/>
        </w:rPr>
        <w:t>、</w:t>
      </w:r>
      <w:r>
        <w:rPr>
          <w:sz w:val="24"/>
          <w:szCs w:val="24"/>
        </w:rPr>
        <w:t>PAHs</w:t>
      </w:r>
      <w:r>
        <w:rPr>
          <w:sz w:val="24"/>
          <w:szCs w:val="24"/>
        </w:rPr>
        <w:t>暴露水平成正相关；</w:t>
      </w:r>
      <w:r>
        <w:rPr>
          <w:rStyle w:val="a8"/>
          <w:b w:val="0"/>
          <w:bCs w:val="0"/>
          <w:sz w:val="24"/>
          <w:szCs w:val="24"/>
        </w:rPr>
        <w:t>（</w:t>
      </w:r>
      <w:r>
        <w:rPr>
          <w:rStyle w:val="a8"/>
          <w:b w:val="0"/>
          <w:bCs w:val="0"/>
          <w:sz w:val="24"/>
          <w:szCs w:val="24"/>
        </w:rPr>
        <w:t>2</w:t>
      </w:r>
      <w:r>
        <w:rPr>
          <w:rStyle w:val="a8"/>
          <w:b w:val="0"/>
          <w:bCs w:val="0"/>
          <w:sz w:val="24"/>
          <w:szCs w:val="24"/>
        </w:rPr>
        <w:t>）</w:t>
      </w:r>
      <w:proofErr w:type="spellStart"/>
      <w:r>
        <w:rPr>
          <w:sz w:val="24"/>
          <w:szCs w:val="24"/>
        </w:rPr>
        <w:t>Phe</w:t>
      </w:r>
      <w:proofErr w:type="spellEnd"/>
      <w:r>
        <w:rPr>
          <w:sz w:val="24"/>
          <w:szCs w:val="24"/>
        </w:rPr>
        <w:t>暴露能诱发雌性</w:t>
      </w:r>
      <w:proofErr w:type="gramStart"/>
      <w:r>
        <w:rPr>
          <w:sz w:val="24"/>
          <w:szCs w:val="24"/>
        </w:rPr>
        <w:t>大鼠肺和</w:t>
      </w:r>
      <w:proofErr w:type="gramEnd"/>
      <w:r>
        <w:rPr>
          <w:sz w:val="24"/>
          <w:szCs w:val="24"/>
        </w:rPr>
        <w:t>肝组织中氧化应激和炎症的发生，其机制可能与</w:t>
      </w:r>
      <w:r>
        <w:rPr>
          <w:sz w:val="24"/>
          <w:szCs w:val="24"/>
        </w:rPr>
        <w:t>Treg</w:t>
      </w:r>
      <w:r>
        <w:rPr>
          <w:sz w:val="24"/>
          <w:szCs w:val="24"/>
        </w:rPr>
        <w:t>细胞和</w:t>
      </w:r>
      <w:r>
        <w:rPr>
          <w:sz w:val="24"/>
          <w:szCs w:val="24"/>
        </w:rPr>
        <w:t>Th17</w:t>
      </w:r>
      <w:r>
        <w:rPr>
          <w:sz w:val="24"/>
          <w:szCs w:val="24"/>
        </w:rPr>
        <w:t>细胞之间的相互调节有关；</w:t>
      </w:r>
      <w:r>
        <w:rPr>
          <w:rStyle w:val="a8"/>
          <w:b w:val="0"/>
          <w:bCs w:val="0"/>
          <w:sz w:val="24"/>
          <w:szCs w:val="24"/>
        </w:rPr>
        <w:t>（</w:t>
      </w:r>
      <w:r>
        <w:rPr>
          <w:rStyle w:val="a8"/>
          <w:b w:val="0"/>
          <w:bCs w:val="0"/>
          <w:sz w:val="24"/>
          <w:szCs w:val="24"/>
        </w:rPr>
        <w:t>3</w:t>
      </w:r>
      <w:r>
        <w:rPr>
          <w:rStyle w:val="a8"/>
          <w:b w:val="0"/>
          <w:bCs w:val="0"/>
          <w:sz w:val="24"/>
          <w:szCs w:val="24"/>
        </w:rPr>
        <w:t>）</w:t>
      </w:r>
      <w:r>
        <w:rPr>
          <w:sz w:val="24"/>
          <w:szCs w:val="24"/>
        </w:rPr>
        <w:t>一定剂量范围内</w:t>
      </w:r>
      <w:proofErr w:type="spellStart"/>
      <w:r>
        <w:rPr>
          <w:sz w:val="24"/>
          <w:szCs w:val="24"/>
        </w:rPr>
        <w:t>Phe</w:t>
      </w:r>
      <w:proofErr w:type="spellEnd"/>
      <w:r>
        <w:rPr>
          <w:sz w:val="24"/>
          <w:szCs w:val="24"/>
        </w:rPr>
        <w:t>和</w:t>
      </w:r>
      <w:r>
        <w:rPr>
          <w:sz w:val="24"/>
          <w:szCs w:val="24"/>
        </w:rPr>
        <w:t>Flu</w:t>
      </w:r>
      <w:r>
        <w:rPr>
          <w:sz w:val="24"/>
          <w:szCs w:val="24"/>
        </w:rPr>
        <w:t>均能不能程度引起细胞内氧化应激和炎症反应，</w:t>
      </w:r>
      <w:proofErr w:type="gramStart"/>
      <w:r>
        <w:rPr>
          <w:sz w:val="24"/>
          <w:szCs w:val="24"/>
        </w:rPr>
        <w:t>且联合</w:t>
      </w:r>
      <w:proofErr w:type="gramEnd"/>
      <w:r>
        <w:rPr>
          <w:sz w:val="24"/>
          <w:szCs w:val="24"/>
        </w:rPr>
        <w:t>作用高于单独作用，其调控机制可能与</w:t>
      </w:r>
      <w:r>
        <w:rPr>
          <w:sz w:val="24"/>
          <w:szCs w:val="24"/>
        </w:rPr>
        <w:t>PI3K/AKT/NF-</w:t>
      </w:r>
      <w:proofErr w:type="spellStart"/>
      <w:r>
        <w:rPr>
          <w:sz w:val="24"/>
          <w:szCs w:val="24"/>
        </w:rPr>
        <w:t>κB</w:t>
      </w:r>
      <w:proofErr w:type="spellEnd"/>
      <w:r>
        <w:rPr>
          <w:sz w:val="24"/>
          <w:szCs w:val="24"/>
        </w:rPr>
        <w:t>信号通路的激活有关；</w:t>
      </w:r>
      <w:r>
        <w:rPr>
          <w:sz w:val="24"/>
          <w:szCs w:val="24"/>
        </w:rPr>
        <w:t>miR-15b-3p_R-1</w:t>
      </w:r>
      <w:r>
        <w:rPr>
          <w:sz w:val="24"/>
          <w:szCs w:val="24"/>
        </w:rPr>
        <w:t>可能靶向调节</w:t>
      </w:r>
      <w:r>
        <w:rPr>
          <w:sz w:val="24"/>
          <w:szCs w:val="24"/>
        </w:rPr>
        <w:t>FGF2</w:t>
      </w:r>
      <w:r>
        <w:rPr>
          <w:sz w:val="24"/>
          <w:szCs w:val="24"/>
        </w:rPr>
        <w:t>的表达，</w:t>
      </w:r>
      <w:proofErr w:type="gramStart"/>
      <w:r>
        <w:rPr>
          <w:sz w:val="24"/>
          <w:szCs w:val="24"/>
        </w:rPr>
        <w:t>介</w:t>
      </w:r>
      <w:proofErr w:type="gramEnd"/>
      <w:r>
        <w:rPr>
          <w:sz w:val="24"/>
          <w:szCs w:val="24"/>
        </w:rPr>
        <w:t>导下游</w:t>
      </w:r>
      <w:r>
        <w:rPr>
          <w:sz w:val="24"/>
          <w:szCs w:val="24"/>
        </w:rPr>
        <w:t>PI3K/AKT</w:t>
      </w:r>
      <w:r>
        <w:rPr>
          <w:sz w:val="24"/>
          <w:szCs w:val="24"/>
        </w:rPr>
        <w:t>通路参与调节</w:t>
      </w:r>
      <w:r>
        <w:rPr>
          <w:sz w:val="24"/>
          <w:szCs w:val="24"/>
        </w:rPr>
        <w:t>LMW-PAHs</w:t>
      </w:r>
      <w:r>
        <w:rPr>
          <w:sz w:val="24"/>
          <w:szCs w:val="24"/>
        </w:rPr>
        <w:t>诱导的</w:t>
      </w:r>
      <w:r>
        <w:rPr>
          <w:sz w:val="24"/>
          <w:szCs w:val="24"/>
        </w:rPr>
        <w:t>A549</w:t>
      </w:r>
      <w:r>
        <w:rPr>
          <w:sz w:val="24"/>
          <w:szCs w:val="24"/>
        </w:rPr>
        <w:t>细胞炎症反应和</w:t>
      </w:r>
      <w:r>
        <w:rPr>
          <w:sz w:val="24"/>
          <w:szCs w:val="24"/>
        </w:rPr>
        <w:t>E</w:t>
      </w:r>
      <w:r>
        <w:rPr>
          <w:sz w:val="24"/>
          <w:szCs w:val="24"/>
        </w:rPr>
        <w:t>MT</w:t>
      </w:r>
      <w:r>
        <w:rPr>
          <w:sz w:val="24"/>
          <w:szCs w:val="24"/>
        </w:rPr>
        <w:t>发生。</w:t>
      </w:r>
      <w:r>
        <w:rPr>
          <w:rStyle w:val="a8"/>
          <w:b w:val="0"/>
          <w:bCs w:val="0"/>
          <w:sz w:val="24"/>
          <w:szCs w:val="24"/>
        </w:rPr>
        <w:t>以上研究为掌握了西北农村地区采暖期室内空气污染致高血压及其发生可能分子机制，寻找早期诊断和治疗的分子标志</w:t>
      </w:r>
      <w:proofErr w:type="gramStart"/>
      <w:r>
        <w:rPr>
          <w:rStyle w:val="a8"/>
          <w:b w:val="0"/>
          <w:bCs w:val="0"/>
          <w:sz w:val="24"/>
          <w:szCs w:val="24"/>
        </w:rPr>
        <w:t>物提供</w:t>
      </w:r>
      <w:proofErr w:type="gramEnd"/>
      <w:r>
        <w:rPr>
          <w:rStyle w:val="a8"/>
          <w:b w:val="0"/>
          <w:bCs w:val="0"/>
          <w:sz w:val="24"/>
          <w:szCs w:val="24"/>
        </w:rPr>
        <w:t>了现场流行病学和实验室科学依据。</w:t>
      </w:r>
    </w:p>
    <w:p w14:paraId="52ED02BD" w14:textId="77777777" w:rsidR="0095202E" w:rsidRDefault="00156101">
      <w:pPr>
        <w:spacing w:line="360" w:lineRule="auto"/>
        <w:rPr>
          <w:rFonts w:ascii="宋体" w:hAnsi="宋体"/>
          <w:b/>
          <w:bCs/>
          <w:color w:val="0D0D0D"/>
          <w:spacing w:val="2"/>
          <w:sz w:val="24"/>
          <w:szCs w:val="24"/>
        </w:rPr>
      </w:pPr>
      <w:r>
        <w:rPr>
          <w:rFonts w:ascii="宋体" w:hAnsi="宋体" w:hint="eastAsia"/>
          <w:b/>
          <w:bCs/>
          <w:color w:val="0D0D0D"/>
          <w:spacing w:val="2"/>
          <w:sz w:val="24"/>
          <w:szCs w:val="24"/>
        </w:rPr>
        <w:t>4</w:t>
      </w:r>
      <w:r>
        <w:rPr>
          <w:rFonts w:ascii="宋体" w:hAnsi="宋体"/>
          <w:b/>
          <w:bCs/>
          <w:color w:val="0D0D0D"/>
          <w:spacing w:val="2"/>
          <w:sz w:val="24"/>
          <w:szCs w:val="24"/>
        </w:rPr>
        <w:t xml:space="preserve">. </w:t>
      </w:r>
      <w:r>
        <w:rPr>
          <w:rFonts w:ascii="宋体" w:hAnsi="宋体" w:hint="eastAsia"/>
          <w:b/>
          <w:bCs/>
          <w:color w:val="0D0D0D"/>
          <w:spacing w:val="2"/>
          <w:sz w:val="24"/>
          <w:szCs w:val="24"/>
        </w:rPr>
        <w:t>知识产权证明目录</w:t>
      </w:r>
    </w:p>
    <w:p w14:paraId="698EECB7" w14:textId="77777777" w:rsidR="0095202E" w:rsidRDefault="00156101">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无。</w:t>
      </w:r>
    </w:p>
    <w:p w14:paraId="2B1C2370" w14:textId="77777777" w:rsidR="0095202E" w:rsidRDefault="00156101">
      <w:pPr>
        <w:spacing w:line="360" w:lineRule="auto"/>
        <w:rPr>
          <w:rFonts w:ascii="宋体" w:hAnsi="宋体"/>
          <w:b/>
          <w:bCs/>
          <w:color w:val="0D0D0D"/>
          <w:spacing w:val="2"/>
          <w:sz w:val="24"/>
          <w:szCs w:val="24"/>
        </w:rPr>
      </w:pPr>
      <w:r>
        <w:rPr>
          <w:rFonts w:ascii="宋体" w:hAnsi="宋体"/>
          <w:b/>
          <w:bCs/>
          <w:color w:val="0D0D0D"/>
          <w:spacing w:val="2"/>
          <w:sz w:val="24"/>
          <w:szCs w:val="24"/>
        </w:rPr>
        <w:t xml:space="preserve">5. </w:t>
      </w:r>
      <w:r>
        <w:rPr>
          <w:rFonts w:ascii="宋体" w:hAnsi="宋体" w:hint="eastAsia"/>
          <w:b/>
          <w:bCs/>
          <w:color w:val="0D0D0D"/>
          <w:spacing w:val="2"/>
          <w:sz w:val="24"/>
          <w:szCs w:val="24"/>
        </w:rPr>
        <w:t>代表性论文目录</w:t>
      </w:r>
    </w:p>
    <w:p w14:paraId="71885C4C" w14:textId="77777777" w:rsidR="0095202E" w:rsidRDefault="00156101">
      <w:pPr>
        <w:spacing w:line="360" w:lineRule="auto"/>
        <w:ind w:left="221" w:hanging="221"/>
        <w:jc w:val="left"/>
        <w:rPr>
          <w:color w:val="000000"/>
          <w:sz w:val="24"/>
          <w:szCs w:val="24"/>
        </w:rPr>
      </w:pPr>
      <w:r>
        <w:rPr>
          <w:rFonts w:hint="eastAsia"/>
          <w:color w:val="000000"/>
          <w:sz w:val="24"/>
          <w:szCs w:val="24"/>
        </w:rPr>
        <w:t>（</w:t>
      </w:r>
      <w:r>
        <w:rPr>
          <w:rFonts w:hint="eastAsia"/>
          <w:color w:val="000000"/>
          <w:sz w:val="24"/>
          <w:szCs w:val="24"/>
        </w:rPr>
        <w:t>1</w:t>
      </w:r>
      <w:r>
        <w:rPr>
          <w:rFonts w:hint="eastAsia"/>
          <w:color w:val="000000"/>
          <w:sz w:val="24"/>
          <w:szCs w:val="24"/>
        </w:rPr>
        <w:t>）</w:t>
      </w:r>
      <w:bookmarkStart w:id="0" w:name="_neb02BE9EC0_FB9E_4CBD_A140_9D694014AD29"/>
      <w:proofErr w:type="spellStart"/>
      <w:r>
        <w:rPr>
          <w:color w:val="000000"/>
          <w:sz w:val="24"/>
          <w:szCs w:val="24"/>
        </w:rPr>
        <w:t>Haitao</w:t>
      </w:r>
      <w:proofErr w:type="spellEnd"/>
      <w:r>
        <w:rPr>
          <w:color w:val="000000"/>
          <w:sz w:val="24"/>
          <w:szCs w:val="24"/>
        </w:rPr>
        <w:t xml:space="preserve"> Ma</w:t>
      </w:r>
      <w:r>
        <w:rPr>
          <w:color w:val="000000"/>
          <w:sz w:val="24"/>
          <w:szCs w:val="24"/>
        </w:rPr>
        <w:t>，</w:t>
      </w:r>
      <w:proofErr w:type="spellStart"/>
      <w:r>
        <w:rPr>
          <w:color w:val="000000"/>
          <w:sz w:val="24"/>
          <w:szCs w:val="24"/>
        </w:rPr>
        <w:t>Huiling</w:t>
      </w:r>
      <w:proofErr w:type="spellEnd"/>
      <w:r>
        <w:rPr>
          <w:color w:val="000000"/>
          <w:sz w:val="24"/>
          <w:szCs w:val="24"/>
        </w:rPr>
        <w:t xml:space="preserve"> Wang</w:t>
      </w:r>
      <w:r>
        <w:rPr>
          <w:color w:val="000000"/>
          <w:sz w:val="24"/>
          <w:szCs w:val="24"/>
        </w:rPr>
        <w:t>，</w:t>
      </w:r>
      <w:proofErr w:type="spellStart"/>
      <w:r>
        <w:rPr>
          <w:color w:val="000000"/>
          <w:sz w:val="24"/>
          <w:szCs w:val="24"/>
        </w:rPr>
        <w:t>Haojun</w:t>
      </w:r>
      <w:proofErr w:type="spellEnd"/>
      <w:r>
        <w:rPr>
          <w:color w:val="000000"/>
          <w:sz w:val="24"/>
          <w:szCs w:val="24"/>
        </w:rPr>
        <w:t xml:space="preserve"> Zhang</w:t>
      </w:r>
      <w:r>
        <w:rPr>
          <w:color w:val="000000"/>
          <w:sz w:val="24"/>
          <w:szCs w:val="24"/>
        </w:rPr>
        <w:t>，</w:t>
      </w:r>
      <w:proofErr w:type="spellStart"/>
      <w:r>
        <w:rPr>
          <w:color w:val="000000"/>
          <w:sz w:val="24"/>
          <w:szCs w:val="24"/>
        </w:rPr>
        <w:t>Huizhen</w:t>
      </w:r>
      <w:proofErr w:type="spellEnd"/>
      <w:r>
        <w:rPr>
          <w:color w:val="000000"/>
          <w:sz w:val="24"/>
          <w:szCs w:val="24"/>
        </w:rPr>
        <w:t xml:space="preserve"> Guo</w:t>
      </w:r>
      <w:r>
        <w:rPr>
          <w:color w:val="000000"/>
          <w:sz w:val="24"/>
          <w:szCs w:val="24"/>
        </w:rPr>
        <w:t>，</w:t>
      </w:r>
      <w:proofErr w:type="spellStart"/>
      <w:r>
        <w:rPr>
          <w:color w:val="000000"/>
          <w:sz w:val="24"/>
          <w:szCs w:val="24"/>
        </w:rPr>
        <w:t>Wenwen</w:t>
      </w:r>
      <w:proofErr w:type="spellEnd"/>
      <w:r>
        <w:rPr>
          <w:color w:val="000000"/>
          <w:sz w:val="24"/>
          <w:szCs w:val="24"/>
        </w:rPr>
        <w:t xml:space="preserve"> Zhang</w:t>
      </w:r>
      <w:r>
        <w:rPr>
          <w:color w:val="000000"/>
          <w:sz w:val="24"/>
          <w:szCs w:val="24"/>
        </w:rPr>
        <w:t>，</w:t>
      </w:r>
      <w:r>
        <w:rPr>
          <w:color w:val="000000"/>
          <w:sz w:val="24"/>
          <w:szCs w:val="24"/>
        </w:rPr>
        <w:t xml:space="preserve"> </w:t>
      </w:r>
      <w:proofErr w:type="spellStart"/>
      <w:r>
        <w:rPr>
          <w:color w:val="000000"/>
          <w:sz w:val="24"/>
          <w:szCs w:val="24"/>
        </w:rPr>
        <w:t>Fengjing</w:t>
      </w:r>
      <w:proofErr w:type="spellEnd"/>
      <w:r>
        <w:rPr>
          <w:color w:val="000000"/>
          <w:sz w:val="24"/>
          <w:szCs w:val="24"/>
        </w:rPr>
        <w:t xml:space="preserve"> Hu</w:t>
      </w:r>
      <w:r>
        <w:rPr>
          <w:color w:val="000000"/>
          <w:sz w:val="24"/>
          <w:szCs w:val="24"/>
        </w:rPr>
        <w:t>，</w:t>
      </w:r>
      <w:proofErr w:type="spellStart"/>
      <w:r>
        <w:rPr>
          <w:color w:val="000000"/>
          <w:sz w:val="24"/>
          <w:szCs w:val="24"/>
        </w:rPr>
        <w:t>Yueli</w:t>
      </w:r>
      <w:proofErr w:type="spellEnd"/>
      <w:r>
        <w:rPr>
          <w:color w:val="000000"/>
          <w:sz w:val="24"/>
          <w:szCs w:val="24"/>
        </w:rPr>
        <w:t xml:space="preserve"> Yao</w:t>
      </w:r>
      <w:r>
        <w:rPr>
          <w:color w:val="000000"/>
          <w:sz w:val="24"/>
          <w:szCs w:val="24"/>
        </w:rPr>
        <w:t>，</w:t>
      </w:r>
      <w:r>
        <w:rPr>
          <w:color w:val="000000"/>
          <w:sz w:val="24"/>
          <w:szCs w:val="24"/>
        </w:rPr>
        <w:t>Dong Wang</w:t>
      </w:r>
      <w:r>
        <w:rPr>
          <w:color w:val="000000"/>
          <w:sz w:val="24"/>
          <w:szCs w:val="24"/>
        </w:rPr>
        <w:t>，</w:t>
      </w:r>
      <w:proofErr w:type="spellStart"/>
      <w:r>
        <w:rPr>
          <w:color w:val="000000"/>
          <w:sz w:val="24"/>
          <w:szCs w:val="24"/>
        </w:rPr>
        <w:t>Chengyun</w:t>
      </w:r>
      <w:proofErr w:type="spellEnd"/>
      <w:r>
        <w:rPr>
          <w:color w:val="000000"/>
          <w:sz w:val="24"/>
          <w:szCs w:val="24"/>
        </w:rPr>
        <w:t xml:space="preserve"> Li</w:t>
      </w:r>
      <w:r>
        <w:rPr>
          <w:color w:val="000000"/>
          <w:sz w:val="24"/>
          <w:szCs w:val="24"/>
        </w:rPr>
        <w:t>，</w:t>
      </w:r>
      <w:proofErr w:type="spellStart"/>
      <w:r>
        <w:rPr>
          <w:color w:val="000000"/>
          <w:sz w:val="24"/>
          <w:szCs w:val="24"/>
        </w:rPr>
        <w:t>Junling</w:t>
      </w:r>
      <w:proofErr w:type="spellEnd"/>
      <w:r>
        <w:rPr>
          <w:color w:val="000000"/>
          <w:sz w:val="24"/>
          <w:szCs w:val="24"/>
        </w:rPr>
        <w:t xml:space="preserve"> Wang. Effects of phenanthrene on oxidative stress and inflammation in lung and liver of female rats. Environmental Toxicology. 2020, 35: 37-46</w:t>
      </w:r>
      <w:r>
        <w:rPr>
          <w:color w:val="000000"/>
          <w:sz w:val="24"/>
          <w:szCs w:val="24"/>
        </w:rPr>
        <w:t xml:space="preserve">. </w:t>
      </w:r>
      <w:bookmarkEnd w:id="0"/>
    </w:p>
    <w:p w14:paraId="1749BCEF" w14:textId="77777777" w:rsidR="0095202E" w:rsidRDefault="00156101">
      <w:pPr>
        <w:spacing w:line="360" w:lineRule="auto"/>
        <w:ind w:left="221" w:hanging="221"/>
        <w:rPr>
          <w:color w:val="000000"/>
          <w:sz w:val="24"/>
          <w:szCs w:val="24"/>
        </w:rPr>
      </w:pPr>
      <w:bookmarkStart w:id="1" w:name="_neb69FF30E7_8200_4B85_AE72_D25B442158F7"/>
      <w:r>
        <w:rPr>
          <w:rFonts w:hint="eastAsia"/>
          <w:color w:val="000000"/>
          <w:sz w:val="24"/>
          <w:szCs w:val="24"/>
        </w:rPr>
        <w:t>（</w:t>
      </w:r>
      <w:r>
        <w:rPr>
          <w:rFonts w:hint="eastAsia"/>
          <w:color w:val="000000"/>
          <w:sz w:val="24"/>
          <w:szCs w:val="24"/>
        </w:rPr>
        <w:t>2</w:t>
      </w:r>
      <w:r>
        <w:rPr>
          <w:rFonts w:hint="eastAsia"/>
          <w:color w:val="000000"/>
          <w:sz w:val="24"/>
          <w:szCs w:val="24"/>
        </w:rPr>
        <w:t>）</w:t>
      </w:r>
      <w:proofErr w:type="spellStart"/>
      <w:r>
        <w:rPr>
          <w:color w:val="000000"/>
          <w:sz w:val="24"/>
          <w:szCs w:val="24"/>
        </w:rPr>
        <w:t>Huizhen</w:t>
      </w:r>
      <w:proofErr w:type="spellEnd"/>
      <w:r>
        <w:rPr>
          <w:color w:val="000000"/>
          <w:sz w:val="24"/>
          <w:szCs w:val="24"/>
        </w:rPr>
        <w:t xml:space="preserve"> Guo, </w:t>
      </w:r>
      <w:proofErr w:type="spellStart"/>
      <w:r>
        <w:rPr>
          <w:color w:val="000000"/>
          <w:sz w:val="24"/>
          <w:szCs w:val="24"/>
        </w:rPr>
        <w:t>Zhewen</w:t>
      </w:r>
      <w:proofErr w:type="spellEnd"/>
      <w:r>
        <w:rPr>
          <w:color w:val="000000"/>
          <w:sz w:val="24"/>
          <w:szCs w:val="24"/>
        </w:rPr>
        <w:t xml:space="preserve"> Zhang, </w:t>
      </w:r>
      <w:proofErr w:type="spellStart"/>
      <w:r>
        <w:rPr>
          <w:color w:val="000000"/>
          <w:sz w:val="24"/>
          <w:szCs w:val="24"/>
        </w:rPr>
        <w:t>Huiling</w:t>
      </w:r>
      <w:proofErr w:type="spellEnd"/>
      <w:r>
        <w:rPr>
          <w:color w:val="000000"/>
          <w:sz w:val="24"/>
          <w:szCs w:val="24"/>
        </w:rPr>
        <w:t xml:space="preserve"> Wang, </w:t>
      </w:r>
      <w:proofErr w:type="spellStart"/>
      <w:r>
        <w:rPr>
          <w:color w:val="000000"/>
          <w:sz w:val="24"/>
          <w:szCs w:val="24"/>
        </w:rPr>
        <w:t>Yushan</w:t>
      </w:r>
      <w:proofErr w:type="spellEnd"/>
      <w:r>
        <w:rPr>
          <w:color w:val="000000"/>
          <w:sz w:val="24"/>
          <w:szCs w:val="24"/>
        </w:rPr>
        <w:t xml:space="preserve"> Huang, </w:t>
      </w:r>
      <w:proofErr w:type="spellStart"/>
      <w:r>
        <w:rPr>
          <w:color w:val="000000"/>
          <w:sz w:val="24"/>
          <w:szCs w:val="24"/>
        </w:rPr>
        <w:t>Wenwen</w:t>
      </w:r>
      <w:proofErr w:type="spellEnd"/>
      <w:r>
        <w:rPr>
          <w:color w:val="000000"/>
          <w:sz w:val="24"/>
          <w:szCs w:val="24"/>
        </w:rPr>
        <w:t xml:space="preserve"> Zhang, Yang Liu, </w:t>
      </w:r>
      <w:proofErr w:type="spellStart"/>
      <w:r>
        <w:rPr>
          <w:color w:val="000000"/>
          <w:sz w:val="24"/>
          <w:szCs w:val="24"/>
        </w:rPr>
        <w:t>Junling</w:t>
      </w:r>
      <w:proofErr w:type="spellEnd"/>
      <w:r>
        <w:rPr>
          <w:color w:val="000000"/>
          <w:sz w:val="24"/>
          <w:szCs w:val="24"/>
        </w:rPr>
        <w:t xml:space="preserve"> Wang. Oxidative stress and inflammatory effects in human lung </w:t>
      </w:r>
      <w:r>
        <w:rPr>
          <w:color w:val="000000"/>
          <w:sz w:val="24"/>
          <w:szCs w:val="24"/>
        </w:rPr>
        <w:lastRenderedPageBreak/>
        <w:t>epithelial A549 cells induced by phenanthrene, fluorene, and their binary mixture. Environmental Toxi</w:t>
      </w:r>
      <w:r>
        <w:rPr>
          <w:color w:val="000000"/>
          <w:sz w:val="24"/>
          <w:szCs w:val="24"/>
        </w:rPr>
        <w:t xml:space="preserve">cology. 2020, 36(1):1-10. </w:t>
      </w:r>
      <w:bookmarkStart w:id="2" w:name="_nebC539ADE8_EE8D_419D_99F5_8483F9C03485"/>
      <w:bookmarkEnd w:id="1"/>
    </w:p>
    <w:p w14:paraId="02E1D0E7" w14:textId="77777777" w:rsidR="0095202E" w:rsidRDefault="00156101">
      <w:pPr>
        <w:spacing w:line="360" w:lineRule="auto"/>
        <w:ind w:left="221" w:hanging="221"/>
        <w:rPr>
          <w:color w:val="000000"/>
          <w:sz w:val="24"/>
          <w:szCs w:val="24"/>
        </w:rPr>
      </w:pPr>
      <w:r>
        <w:rPr>
          <w:rFonts w:hint="eastAsia"/>
          <w:color w:val="000000"/>
          <w:sz w:val="24"/>
          <w:szCs w:val="24"/>
        </w:rPr>
        <w:t>（</w:t>
      </w:r>
      <w:r>
        <w:rPr>
          <w:rFonts w:hint="eastAsia"/>
          <w:color w:val="000000"/>
          <w:sz w:val="24"/>
          <w:szCs w:val="24"/>
        </w:rPr>
        <w:t>3</w:t>
      </w:r>
      <w:r>
        <w:rPr>
          <w:rFonts w:hint="eastAsia"/>
          <w:color w:val="000000"/>
          <w:sz w:val="24"/>
          <w:szCs w:val="24"/>
        </w:rPr>
        <w:t>）</w:t>
      </w:r>
      <w:proofErr w:type="spellStart"/>
      <w:r>
        <w:rPr>
          <w:color w:val="000000"/>
          <w:sz w:val="24"/>
          <w:szCs w:val="24"/>
        </w:rPr>
        <w:t>Huizhen</w:t>
      </w:r>
      <w:proofErr w:type="spellEnd"/>
      <w:r>
        <w:rPr>
          <w:color w:val="000000"/>
          <w:sz w:val="24"/>
          <w:szCs w:val="24"/>
        </w:rPr>
        <w:t xml:space="preserve"> Guo, </w:t>
      </w:r>
      <w:proofErr w:type="spellStart"/>
      <w:r>
        <w:rPr>
          <w:color w:val="000000"/>
          <w:sz w:val="24"/>
          <w:szCs w:val="24"/>
        </w:rPr>
        <w:t>Yushan</w:t>
      </w:r>
      <w:proofErr w:type="spellEnd"/>
      <w:r>
        <w:rPr>
          <w:color w:val="000000"/>
          <w:sz w:val="24"/>
          <w:szCs w:val="24"/>
        </w:rPr>
        <w:t xml:space="preserve"> Huang, </w:t>
      </w:r>
      <w:proofErr w:type="spellStart"/>
      <w:r>
        <w:rPr>
          <w:color w:val="000000"/>
          <w:sz w:val="24"/>
          <w:szCs w:val="24"/>
        </w:rPr>
        <w:t>Huiling</w:t>
      </w:r>
      <w:proofErr w:type="spellEnd"/>
      <w:r>
        <w:rPr>
          <w:color w:val="000000"/>
          <w:sz w:val="24"/>
          <w:szCs w:val="24"/>
        </w:rPr>
        <w:t xml:space="preserve"> Wang, </w:t>
      </w:r>
      <w:proofErr w:type="spellStart"/>
      <w:r>
        <w:rPr>
          <w:color w:val="000000"/>
          <w:sz w:val="24"/>
          <w:szCs w:val="24"/>
        </w:rPr>
        <w:t>Zhewen</w:t>
      </w:r>
      <w:proofErr w:type="spellEnd"/>
      <w:r>
        <w:rPr>
          <w:color w:val="000000"/>
          <w:sz w:val="24"/>
          <w:szCs w:val="24"/>
        </w:rPr>
        <w:t xml:space="preserve"> Zhang, </w:t>
      </w:r>
      <w:proofErr w:type="spellStart"/>
      <w:r>
        <w:rPr>
          <w:color w:val="000000"/>
          <w:sz w:val="24"/>
          <w:szCs w:val="24"/>
        </w:rPr>
        <w:t>Chengyun</w:t>
      </w:r>
      <w:proofErr w:type="spellEnd"/>
      <w:r>
        <w:rPr>
          <w:color w:val="000000"/>
          <w:sz w:val="24"/>
          <w:szCs w:val="24"/>
        </w:rPr>
        <w:t xml:space="preserve"> Li, </w:t>
      </w:r>
      <w:proofErr w:type="spellStart"/>
      <w:r>
        <w:rPr>
          <w:color w:val="000000"/>
          <w:sz w:val="24"/>
          <w:szCs w:val="24"/>
        </w:rPr>
        <w:t>Fengjing</w:t>
      </w:r>
      <w:proofErr w:type="spellEnd"/>
      <w:r>
        <w:rPr>
          <w:color w:val="000000"/>
          <w:sz w:val="24"/>
          <w:szCs w:val="24"/>
        </w:rPr>
        <w:t xml:space="preserve"> Hu, </w:t>
      </w:r>
      <w:proofErr w:type="spellStart"/>
      <w:r>
        <w:rPr>
          <w:color w:val="000000"/>
          <w:sz w:val="24"/>
          <w:szCs w:val="24"/>
        </w:rPr>
        <w:t>Wenwen</w:t>
      </w:r>
      <w:proofErr w:type="spellEnd"/>
      <w:r>
        <w:rPr>
          <w:color w:val="000000"/>
          <w:sz w:val="24"/>
          <w:szCs w:val="24"/>
        </w:rPr>
        <w:t xml:space="preserve"> Zhang, Yang Liu, Yong Zeng, </w:t>
      </w:r>
      <w:proofErr w:type="spellStart"/>
      <w:r>
        <w:rPr>
          <w:color w:val="000000"/>
          <w:sz w:val="24"/>
          <w:szCs w:val="24"/>
        </w:rPr>
        <w:t>Junling</w:t>
      </w:r>
      <w:proofErr w:type="spellEnd"/>
      <w:r>
        <w:rPr>
          <w:color w:val="000000"/>
          <w:sz w:val="24"/>
          <w:szCs w:val="24"/>
        </w:rPr>
        <w:t xml:space="preserve"> Wang. Low molecular weight-PAHs induced inflammation in A549 cells by activating PI3K/AKT and NF-</w:t>
      </w:r>
      <w:proofErr w:type="spellStart"/>
      <w:r>
        <w:rPr>
          <w:color w:val="000000"/>
          <w:sz w:val="24"/>
          <w:szCs w:val="24"/>
        </w:rPr>
        <w:t>kappa</w:t>
      </w:r>
      <w:r>
        <w:rPr>
          <w:color w:val="000000"/>
          <w:sz w:val="24"/>
          <w:szCs w:val="24"/>
        </w:rPr>
        <w:t>B</w:t>
      </w:r>
      <w:proofErr w:type="spellEnd"/>
      <w:r>
        <w:rPr>
          <w:color w:val="000000"/>
          <w:sz w:val="24"/>
          <w:szCs w:val="24"/>
        </w:rPr>
        <w:t xml:space="preserve"> signaling pathways. Toxicology Research. 2021, 10:150-157.</w:t>
      </w:r>
      <w:bookmarkEnd w:id="2"/>
    </w:p>
    <w:p w14:paraId="2C17EA9D" w14:textId="77777777" w:rsidR="0095202E" w:rsidRDefault="00156101">
      <w:pPr>
        <w:spacing w:line="360" w:lineRule="auto"/>
        <w:ind w:left="221" w:hanging="221"/>
        <w:rPr>
          <w:color w:val="000000"/>
          <w:sz w:val="24"/>
          <w:szCs w:val="24"/>
        </w:rPr>
      </w:pPr>
      <w:bookmarkStart w:id="3" w:name="_nebFE47F37C_3E55_4A5D_87AD_1B58D231133B"/>
      <w:r>
        <w:rPr>
          <w:rFonts w:hint="eastAsia"/>
          <w:color w:val="000000"/>
          <w:sz w:val="24"/>
          <w:szCs w:val="24"/>
        </w:rPr>
        <w:t>（</w:t>
      </w:r>
      <w:r>
        <w:rPr>
          <w:rFonts w:hint="eastAsia"/>
          <w:color w:val="000000"/>
          <w:sz w:val="24"/>
          <w:szCs w:val="24"/>
        </w:rPr>
        <w:t>4</w:t>
      </w:r>
      <w:r>
        <w:rPr>
          <w:rFonts w:hint="eastAsia"/>
          <w:color w:val="000000"/>
          <w:sz w:val="24"/>
          <w:szCs w:val="24"/>
        </w:rPr>
        <w:t>）</w:t>
      </w:r>
      <w:proofErr w:type="spellStart"/>
      <w:r>
        <w:rPr>
          <w:color w:val="000000"/>
          <w:sz w:val="24"/>
          <w:szCs w:val="24"/>
        </w:rPr>
        <w:t>Huizhen</w:t>
      </w:r>
      <w:proofErr w:type="spellEnd"/>
      <w:r>
        <w:rPr>
          <w:color w:val="000000"/>
          <w:sz w:val="24"/>
          <w:szCs w:val="24"/>
        </w:rPr>
        <w:t xml:space="preserve"> Guo, </w:t>
      </w:r>
      <w:proofErr w:type="spellStart"/>
      <w:r>
        <w:rPr>
          <w:color w:val="000000"/>
          <w:sz w:val="24"/>
          <w:szCs w:val="24"/>
        </w:rPr>
        <w:t>Yushan</w:t>
      </w:r>
      <w:proofErr w:type="spellEnd"/>
      <w:r>
        <w:rPr>
          <w:color w:val="000000"/>
          <w:sz w:val="24"/>
          <w:szCs w:val="24"/>
        </w:rPr>
        <w:t xml:space="preserve"> Huang, </w:t>
      </w:r>
      <w:proofErr w:type="spellStart"/>
      <w:r>
        <w:rPr>
          <w:color w:val="000000"/>
          <w:sz w:val="24"/>
          <w:szCs w:val="24"/>
        </w:rPr>
        <w:t>Huiling</w:t>
      </w:r>
      <w:proofErr w:type="spellEnd"/>
      <w:r>
        <w:rPr>
          <w:color w:val="000000"/>
          <w:sz w:val="24"/>
          <w:szCs w:val="24"/>
        </w:rPr>
        <w:t xml:space="preserve"> Wang, </w:t>
      </w:r>
      <w:proofErr w:type="spellStart"/>
      <w:r>
        <w:rPr>
          <w:color w:val="000000"/>
          <w:sz w:val="24"/>
          <w:szCs w:val="24"/>
        </w:rPr>
        <w:t>Zhewen</w:t>
      </w:r>
      <w:proofErr w:type="spellEnd"/>
      <w:r>
        <w:rPr>
          <w:color w:val="000000"/>
          <w:sz w:val="24"/>
          <w:szCs w:val="24"/>
        </w:rPr>
        <w:t xml:space="preserve"> Zhang, </w:t>
      </w:r>
      <w:proofErr w:type="spellStart"/>
      <w:r>
        <w:rPr>
          <w:color w:val="000000"/>
          <w:sz w:val="24"/>
          <w:szCs w:val="24"/>
        </w:rPr>
        <w:t>Chengyun</w:t>
      </w:r>
      <w:proofErr w:type="spellEnd"/>
      <w:r>
        <w:rPr>
          <w:color w:val="000000"/>
          <w:sz w:val="24"/>
          <w:szCs w:val="24"/>
        </w:rPr>
        <w:t xml:space="preserve"> Li, </w:t>
      </w:r>
      <w:proofErr w:type="spellStart"/>
      <w:r>
        <w:rPr>
          <w:color w:val="000000"/>
          <w:sz w:val="24"/>
          <w:szCs w:val="24"/>
        </w:rPr>
        <w:t>Fengjing</w:t>
      </w:r>
      <w:proofErr w:type="spellEnd"/>
      <w:r>
        <w:rPr>
          <w:color w:val="000000"/>
          <w:sz w:val="24"/>
          <w:szCs w:val="24"/>
        </w:rPr>
        <w:t xml:space="preserve"> Hu, </w:t>
      </w:r>
      <w:proofErr w:type="spellStart"/>
      <w:r>
        <w:rPr>
          <w:color w:val="000000"/>
          <w:sz w:val="24"/>
          <w:szCs w:val="24"/>
        </w:rPr>
        <w:t>Wenwen</w:t>
      </w:r>
      <w:proofErr w:type="spellEnd"/>
      <w:r>
        <w:rPr>
          <w:color w:val="000000"/>
          <w:sz w:val="24"/>
          <w:szCs w:val="24"/>
        </w:rPr>
        <w:t xml:space="preserve"> Zhang, Yang Liu, Yong Zeng, </w:t>
      </w:r>
      <w:proofErr w:type="spellStart"/>
      <w:r>
        <w:rPr>
          <w:color w:val="000000"/>
          <w:sz w:val="24"/>
          <w:szCs w:val="24"/>
        </w:rPr>
        <w:t>Junling</w:t>
      </w:r>
      <w:proofErr w:type="spellEnd"/>
      <w:r>
        <w:rPr>
          <w:color w:val="000000"/>
          <w:sz w:val="24"/>
          <w:szCs w:val="24"/>
        </w:rPr>
        <w:t xml:space="preserve"> Wang. The effects of phenanthrene exposure on Treg and Th17 cells re</w:t>
      </w:r>
      <w:r>
        <w:rPr>
          <w:color w:val="000000"/>
          <w:sz w:val="24"/>
          <w:szCs w:val="24"/>
        </w:rPr>
        <w:t xml:space="preserve">lated cytokines in female rats. Toxicology Research. 2020, 3(3):283-289. </w:t>
      </w:r>
      <w:bookmarkEnd w:id="3"/>
    </w:p>
    <w:p w14:paraId="2C904176" w14:textId="77777777" w:rsidR="0095202E" w:rsidRPr="00DF2190" w:rsidRDefault="00156101">
      <w:pPr>
        <w:spacing w:line="360" w:lineRule="auto"/>
        <w:ind w:left="221" w:hanging="221"/>
        <w:rPr>
          <w:color w:val="000000"/>
          <w:sz w:val="24"/>
          <w:szCs w:val="24"/>
        </w:rPr>
      </w:pPr>
      <w:bookmarkStart w:id="4" w:name="_neb5F78AAC3_DB8A_4634_A346_56F5CE92B50B"/>
      <w:bookmarkStart w:id="5" w:name="_neb36FAF5EF_C0C7_4A4B_8782_49D7437E563D"/>
      <w:r>
        <w:rPr>
          <w:rFonts w:hint="eastAsia"/>
          <w:color w:val="000000"/>
          <w:sz w:val="24"/>
          <w:szCs w:val="24"/>
        </w:rPr>
        <w:t>（</w:t>
      </w:r>
      <w:r>
        <w:rPr>
          <w:rFonts w:hint="eastAsia"/>
          <w:color w:val="000000"/>
          <w:sz w:val="24"/>
          <w:szCs w:val="24"/>
        </w:rPr>
        <w:t>5</w:t>
      </w:r>
      <w:r>
        <w:rPr>
          <w:rFonts w:hint="eastAsia"/>
          <w:color w:val="000000"/>
          <w:sz w:val="24"/>
          <w:szCs w:val="24"/>
        </w:rPr>
        <w:t>）</w:t>
      </w:r>
      <w:proofErr w:type="spellStart"/>
      <w:r>
        <w:rPr>
          <w:color w:val="000000"/>
          <w:sz w:val="24"/>
          <w:szCs w:val="24"/>
        </w:rPr>
        <w:t>Qiannan</w:t>
      </w:r>
      <w:proofErr w:type="spellEnd"/>
      <w:r>
        <w:rPr>
          <w:color w:val="000000"/>
          <w:sz w:val="24"/>
          <w:szCs w:val="24"/>
        </w:rPr>
        <w:t xml:space="preserve"> E, </w:t>
      </w:r>
      <w:proofErr w:type="spellStart"/>
      <w:r>
        <w:rPr>
          <w:color w:val="000000"/>
          <w:sz w:val="24"/>
          <w:szCs w:val="24"/>
        </w:rPr>
        <w:t>Caixia</w:t>
      </w:r>
      <w:proofErr w:type="spellEnd"/>
      <w:r>
        <w:rPr>
          <w:color w:val="000000"/>
          <w:sz w:val="24"/>
          <w:szCs w:val="24"/>
        </w:rPr>
        <w:t xml:space="preserve"> Wang, </w:t>
      </w:r>
      <w:proofErr w:type="spellStart"/>
      <w:r>
        <w:rPr>
          <w:color w:val="000000"/>
          <w:sz w:val="24"/>
          <w:szCs w:val="24"/>
        </w:rPr>
        <w:t>Xueyan</w:t>
      </w:r>
      <w:proofErr w:type="spellEnd"/>
      <w:r>
        <w:rPr>
          <w:color w:val="000000"/>
          <w:sz w:val="24"/>
          <w:szCs w:val="24"/>
        </w:rPr>
        <w:t xml:space="preserve"> Gu, </w:t>
      </w:r>
      <w:proofErr w:type="spellStart"/>
      <w:r>
        <w:rPr>
          <w:color w:val="000000"/>
          <w:sz w:val="24"/>
          <w:szCs w:val="24"/>
        </w:rPr>
        <w:t>Xiaoqin</w:t>
      </w:r>
      <w:proofErr w:type="spellEnd"/>
      <w:r>
        <w:rPr>
          <w:color w:val="000000"/>
          <w:sz w:val="24"/>
          <w:szCs w:val="24"/>
        </w:rPr>
        <w:t xml:space="preserve"> Gan, </w:t>
      </w:r>
      <w:proofErr w:type="spellStart"/>
      <w:r>
        <w:rPr>
          <w:color w:val="000000"/>
          <w:sz w:val="24"/>
          <w:szCs w:val="24"/>
        </w:rPr>
        <w:t>Xiaotian</w:t>
      </w:r>
      <w:proofErr w:type="spellEnd"/>
      <w:r>
        <w:rPr>
          <w:color w:val="000000"/>
          <w:sz w:val="24"/>
          <w:szCs w:val="24"/>
        </w:rPr>
        <w:t xml:space="preserve"> Zhang, Shuang Wang, Jianhua Ma, Li Zhang, Rui Zhang, Li </w:t>
      </w:r>
      <w:proofErr w:type="spellStart"/>
      <w:r>
        <w:rPr>
          <w:color w:val="000000"/>
          <w:sz w:val="24"/>
          <w:szCs w:val="24"/>
        </w:rPr>
        <w:t>Su</w:t>
      </w:r>
      <w:proofErr w:type="spellEnd"/>
      <w:r>
        <w:rPr>
          <w:color w:val="000000"/>
          <w:sz w:val="24"/>
          <w:szCs w:val="24"/>
        </w:rPr>
        <w:t>. Competitive endogenous RNA (</w:t>
      </w:r>
      <w:proofErr w:type="spellStart"/>
      <w:r>
        <w:rPr>
          <w:color w:val="000000"/>
          <w:sz w:val="24"/>
          <w:szCs w:val="24"/>
        </w:rPr>
        <w:t>ceRNA</w:t>
      </w:r>
      <w:proofErr w:type="spellEnd"/>
      <w:r>
        <w:rPr>
          <w:color w:val="000000"/>
          <w:sz w:val="24"/>
          <w:szCs w:val="24"/>
        </w:rPr>
        <w:t>) regulation network of lncRN</w:t>
      </w:r>
      <w:r>
        <w:rPr>
          <w:color w:val="000000"/>
          <w:sz w:val="24"/>
          <w:szCs w:val="24"/>
        </w:rPr>
        <w:t xml:space="preserve">A-miRNA-mRNA during the process of the nickel-induced steroidogenesis disturbance in rat Leydig cells. Toxicology in Vitro. </w:t>
      </w:r>
      <w:r w:rsidRPr="00DF2190">
        <w:rPr>
          <w:color w:val="000000"/>
          <w:sz w:val="24"/>
          <w:szCs w:val="24"/>
        </w:rPr>
        <w:t xml:space="preserve">2020, 63(3):104721. </w:t>
      </w:r>
      <w:bookmarkEnd w:id="4"/>
    </w:p>
    <w:p w14:paraId="352C0DBB" w14:textId="77777777" w:rsidR="0095202E" w:rsidRDefault="00156101">
      <w:pPr>
        <w:spacing w:line="360" w:lineRule="auto"/>
        <w:ind w:left="221" w:hanging="221"/>
        <w:rPr>
          <w:color w:val="000000"/>
          <w:sz w:val="24"/>
          <w:szCs w:val="24"/>
        </w:rPr>
      </w:pPr>
      <w:r>
        <w:rPr>
          <w:rFonts w:hint="eastAsia"/>
          <w:color w:val="000000"/>
          <w:sz w:val="24"/>
          <w:szCs w:val="24"/>
        </w:rPr>
        <w:t>（</w:t>
      </w:r>
      <w:r>
        <w:rPr>
          <w:rFonts w:hint="eastAsia"/>
          <w:color w:val="000000"/>
          <w:sz w:val="24"/>
          <w:szCs w:val="24"/>
        </w:rPr>
        <w:t>6</w:t>
      </w:r>
      <w:r>
        <w:rPr>
          <w:rFonts w:hint="eastAsia"/>
          <w:color w:val="000000"/>
          <w:sz w:val="24"/>
          <w:szCs w:val="24"/>
        </w:rPr>
        <w:t>）</w:t>
      </w:r>
      <w:proofErr w:type="spellStart"/>
      <w:r>
        <w:rPr>
          <w:color w:val="000000"/>
          <w:sz w:val="24"/>
          <w:szCs w:val="24"/>
        </w:rPr>
        <w:t>Panhong</w:t>
      </w:r>
      <w:proofErr w:type="spellEnd"/>
      <w:r>
        <w:rPr>
          <w:color w:val="000000"/>
          <w:sz w:val="24"/>
          <w:szCs w:val="24"/>
        </w:rPr>
        <w:t xml:space="preserve"> Gou, </w:t>
      </w:r>
      <w:proofErr w:type="spellStart"/>
      <w:r>
        <w:rPr>
          <w:color w:val="000000"/>
          <w:sz w:val="24"/>
          <w:szCs w:val="24"/>
        </w:rPr>
        <w:t>Xiaoru</w:t>
      </w:r>
      <w:proofErr w:type="spellEnd"/>
      <w:r>
        <w:rPr>
          <w:color w:val="000000"/>
          <w:sz w:val="24"/>
          <w:szCs w:val="24"/>
        </w:rPr>
        <w:t xml:space="preserve"> Chang, </w:t>
      </w:r>
      <w:proofErr w:type="spellStart"/>
      <w:r>
        <w:rPr>
          <w:color w:val="000000"/>
          <w:sz w:val="24"/>
          <w:szCs w:val="24"/>
        </w:rPr>
        <w:t>Zhonghui</w:t>
      </w:r>
      <w:proofErr w:type="spellEnd"/>
      <w:r>
        <w:rPr>
          <w:color w:val="000000"/>
          <w:sz w:val="24"/>
          <w:szCs w:val="24"/>
        </w:rPr>
        <w:t xml:space="preserve"> Ye, </w:t>
      </w:r>
      <w:proofErr w:type="spellStart"/>
      <w:r>
        <w:rPr>
          <w:color w:val="000000"/>
          <w:sz w:val="24"/>
          <w:szCs w:val="24"/>
        </w:rPr>
        <w:t>Yueli</w:t>
      </w:r>
      <w:proofErr w:type="spellEnd"/>
      <w:r>
        <w:rPr>
          <w:color w:val="000000"/>
          <w:sz w:val="24"/>
          <w:szCs w:val="24"/>
        </w:rPr>
        <w:t xml:space="preserve"> Yao, Patton Khuu Nguyen, Sally Katharine Hammond, </w:t>
      </w:r>
      <w:proofErr w:type="spellStart"/>
      <w:r>
        <w:rPr>
          <w:color w:val="000000"/>
          <w:sz w:val="24"/>
          <w:szCs w:val="24"/>
        </w:rPr>
        <w:t>Junling</w:t>
      </w:r>
      <w:proofErr w:type="spellEnd"/>
      <w:r>
        <w:rPr>
          <w:color w:val="000000"/>
          <w:sz w:val="24"/>
          <w:szCs w:val="24"/>
        </w:rPr>
        <w:t xml:space="preserve"> Wang</w:t>
      </w:r>
      <w:r>
        <w:rPr>
          <w:color w:val="000000"/>
          <w:sz w:val="24"/>
          <w:szCs w:val="24"/>
        </w:rPr>
        <w:t>, Sa Liu. A pilot study comparing T-regulatory cell function among healthy children in different areas of Gansu, China. Environmental Science Pollution Research.</w:t>
      </w:r>
      <w:bookmarkEnd w:id="5"/>
      <w:r>
        <w:rPr>
          <w:color w:val="000000"/>
          <w:sz w:val="24"/>
          <w:szCs w:val="24"/>
        </w:rPr>
        <w:t xml:space="preserve"> 2017, 24(8): 22579-22586.</w:t>
      </w:r>
    </w:p>
    <w:p w14:paraId="76178BCF" w14:textId="77777777" w:rsidR="0095202E" w:rsidRDefault="00156101">
      <w:pPr>
        <w:spacing w:line="360" w:lineRule="auto"/>
        <w:ind w:left="221" w:hanging="221"/>
        <w:rPr>
          <w:color w:val="000000"/>
          <w:sz w:val="24"/>
          <w:szCs w:val="24"/>
        </w:rPr>
      </w:pPr>
      <w:r>
        <w:rPr>
          <w:rFonts w:hint="eastAsia"/>
          <w:color w:val="000000"/>
          <w:sz w:val="24"/>
          <w:szCs w:val="24"/>
        </w:rPr>
        <w:t>（</w:t>
      </w:r>
      <w:r>
        <w:rPr>
          <w:rFonts w:hint="eastAsia"/>
          <w:color w:val="000000"/>
          <w:sz w:val="24"/>
          <w:szCs w:val="24"/>
        </w:rPr>
        <w:t>7</w:t>
      </w:r>
      <w:r>
        <w:rPr>
          <w:rFonts w:hint="eastAsia"/>
          <w:color w:val="000000"/>
          <w:sz w:val="24"/>
          <w:szCs w:val="24"/>
        </w:rPr>
        <w:t>）</w:t>
      </w:r>
      <w:proofErr w:type="spellStart"/>
      <w:r>
        <w:rPr>
          <w:color w:val="000000"/>
          <w:sz w:val="24"/>
          <w:szCs w:val="24"/>
        </w:rPr>
        <w:t>Yushan</w:t>
      </w:r>
      <w:proofErr w:type="spellEnd"/>
      <w:r>
        <w:rPr>
          <w:color w:val="000000"/>
          <w:sz w:val="24"/>
          <w:szCs w:val="24"/>
        </w:rPr>
        <w:t xml:space="preserve"> Huang, </w:t>
      </w:r>
      <w:proofErr w:type="spellStart"/>
      <w:r>
        <w:rPr>
          <w:color w:val="000000"/>
          <w:sz w:val="24"/>
          <w:szCs w:val="24"/>
        </w:rPr>
        <w:t>Huiling</w:t>
      </w:r>
      <w:proofErr w:type="spellEnd"/>
      <w:r>
        <w:rPr>
          <w:color w:val="000000"/>
          <w:sz w:val="24"/>
          <w:szCs w:val="24"/>
        </w:rPr>
        <w:t xml:space="preserve"> Wang, </w:t>
      </w:r>
      <w:proofErr w:type="spellStart"/>
      <w:r>
        <w:rPr>
          <w:color w:val="000000"/>
          <w:sz w:val="24"/>
          <w:szCs w:val="24"/>
        </w:rPr>
        <w:t>Huizhen</w:t>
      </w:r>
      <w:proofErr w:type="spellEnd"/>
      <w:r>
        <w:rPr>
          <w:color w:val="000000"/>
          <w:sz w:val="24"/>
          <w:szCs w:val="24"/>
        </w:rPr>
        <w:t xml:space="preserve"> Guo, Yang Liu, Yong Zeng, </w:t>
      </w:r>
      <w:proofErr w:type="spellStart"/>
      <w:r>
        <w:rPr>
          <w:color w:val="000000"/>
          <w:sz w:val="24"/>
          <w:szCs w:val="24"/>
        </w:rPr>
        <w:t>Fengjing</w:t>
      </w:r>
      <w:proofErr w:type="spellEnd"/>
      <w:r>
        <w:rPr>
          <w:color w:val="000000"/>
          <w:sz w:val="24"/>
          <w:szCs w:val="24"/>
        </w:rPr>
        <w:t xml:space="preserve"> Hu, </w:t>
      </w:r>
      <w:proofErr w:type="spellStart"/>
      <w:r>
        <w:rPr>
          <w:color w:val="000000"/>
          <w:sz w:val="24"/>
          <w:szCs w:val="24"/>
        </w:rPr>
        <w:t>Wenwen</w:t>
      </w:r>
      <w:proofErr w:type="spellEnd"/>
      <w:r>
        <w:rPr>
          <w:color w:val="000000"/>
          <w:sz w:val="24"/>
          <w:szCs w:val="24"/>
        </w:rPr>
        <w:t xml:space="preserve"> Zhang, </w:t>
      </w:r>
      <w:proofErr w:type="spellStart"/>
      <w:r>
        <w:rPr>
          <w:color w:val="000000"/>
          <w:sz w:val="24"/>
          <w:szCs w:val="24"/>
        </w:rPr>
        <w:t>Chengyun</w:t>
      </w:r>
      <w:proofErr w:type="spellEnd"/>
      <w:r>
        <w:rPr>
          <w:color w:val="000000"/>
          <w:sz w:val="24"/>
          <w:szCs w:val="24"/>
        </w:rPr>
        <w:t xml:space="preserve"> Li, </w:t>
      </w:r>
      <w:proofErr w:type="spellStart"/>
      <w:r>
        <w:rPr>
          <w:color w:val="000000"/>
          <w:sz w:val="24"/>
          <w:szCs w:val="24"/>
        </w:rPr>
        <w:t>Junling</w:t>
      </w:r>
      <w:proofErr w:type="spellEnd"/>
      <w:r>
        <w:rPr>
          <w:color w:val="000000"/>
          <w:sz w:val="24"/>
          <w:szCs w:val="24"/>
        </w:rPr>
        <w:t xml:space="preserve"> Wang. A preliminary study on household air pollution exposure and health-related factors among rural housewives in Gansu province, northwest China</w:t>
      </w:r>
      <w:r>
        <w:rPr>
          <w:color w:val="000000"/>
          <w:sz w:val="24"/>
          <w:szCs w:val="24"/>
        </w:rPr>
        <w:t xml:space="preserve">. Archives of Environmental &amp; Occupational Health. 2021:1-12. </w:t>
      </w:r>
    </w:p>
    <w:p w14:paraId="005B6BFB" w14:textId="77777777" w:rsidR="0095202E" w:rsidRDefault="00156101">
      <w:pPr>
        <w:spacing w:line="360" w:lineRule="auto"/>
        <w:rPr>
          <w:rFonts w:ascii="宋体" w:hAnsi="宋体"/>
          <w:color w:val="0D0D0D"/>
          <w:spacing w:val="2"/>
          <w:sz w:val="24"/>
          <w:szCs w:val="24"/>
        </w:rPr>
      </w:pPr>
      <w:r>
        <w:rPr>
          <w:rFonts w:ascii="宋体" w:hAnsi="宋体" w:hint="eastAsia"/>
          <w:b/>
          <w:bCs/>
          <w:color w:val="0D0D0D"/>
          <w:spacing w:val="2"/>
          <w:sz w:val="24"/>
          <w:szCs w:val="24"/>
        </w:rPr>
        <w:t>6</w:t>
      </w:r>
      <w:r>
        <w:rPr>
          <w:rFonts w:ascii="宋体" w:hAnsi="宋体"/>
          <w:b/>
          <w:bCs/>
          <w:color w:val="0D0D0D"/>
          <w:spacing w:val="2"/>
          <w:sz w:val="24"/>
          <w:szCs w:val="24"/>
        </w:rPr>
        <w:t xml:space="preserve">. </w:t>
      </w:r>
      <w:r>
        <w:rPr>
          <w:rFonts w:ascii="宋体" w:hAnsi="宋体" w:hint="eastAsia"/>
          <w:b/>
          <w:bCs/>
          <w:color w:val="0D0D0D"/>
          <w:spacing w:val="2"/>
          <w:sz w:val="24"/>
          <w:szCs w:val="24"/>
        </w:rPr>
        <w:t>完成人情况</w:t>
      </w:r>
    </w:p>
    <w:tbl>
      <w:tblPr>
        <w:tblpPr w:leftFromText="180" w:rightFromText="180" w:vertAnchor="text" w:horzAnchor="page" w:tblpX="1782" w:tblpY="232"/>
        <w:tblOverlap w:val="neve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25"/>
        <w:gridCol w:w="1814"/>
        <w:gridCol w:w="1021"/>
        <w:gridCol w:w="2499"/>
        <w:gridCol w:w="2387"/>
      </w:tblGrid>
      <w:tr w:rsidR="0095202E" w14:paraId="71942A24" w14:textId="77777777">
        <w:trPr>
          <w:trHeight w:val="475"/>
        </w:trPr>
        <w:tc>
          <w:tcPr>
            <w:tcW w:w="988" w:type="dxa"/>
            <w:tcBorders>
              <w:top w:val="single" w:sz="4" w:space="0" w:color="auto"/>
              <w:left w:val="single" w:sz="4" w:space="0" w:color="auto"/>
              <w:bottom w:val="single" w:sz="4" w:space="0" w:color="auto"/>
              <w:right w:val="single" w:sz="4" w:space="0" w:color="auto"/>
            </w:tcBorders>
            <w:vAlign w:val="center"/>
          </w:tcPr>
          <w:p w14:paraId="4E4A1F53"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姓名</w:t>
            </w:r>
          </w:p>
        </w:tc>
        <w:tc>
          <w:tcPr>
            <w:tcW w:w="425" w:type="dxa"/>
            <w:tcBorders>
              <w:top w:val="single" w:sz="4" w:space="0" w:color="auto"/>
              <w:left w:val="single" w:sz="4" w:space="0" w:color="auto"/>
              <w:bottom w:val="single" w:sz="4" w:space="0" w:color="auto"/>
              <w:right w:val="single" w:sz="4" w:space="0" w:color="auto"/>
            </w:tcBorders>
            <w:vAlign w:val="center"/>
          </w:tcPr>
          <w:p w14:paraId="0CA09444"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排名</w:t>
            </w:r>
          </w:p>
        </w:tc>
        <w:tc>
          <w:tcPr>
            <w:tcW w:w="1814" w:type="dxa"/>
            <w:tcBorders>
              <w:top w:val="single" w:sz="4" w:space="0" w:color="auto"/>
              <w:left w:val="single" w:sz="4" w:space="0" w:color="auto"/>
              <w:bottom w:val="single" w:sz="4" w:space="0" w:color="auto"/>
              <w:right w:val="single" w:sz="4" w:space="0" w:color="auto"/>
            </w:tcBorders>
            <w:vAlign w:val="center"/>
          </w:tcPr>
          <w:p w14:paraId="07649FCA"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职称</w:t>
            </w:r>
          </w:p>
        </w:tc>
        <w:tc>
          <w:tcPr>
            <w:tcW w:w="1021" w:type="dxa"/>
            <w:tcBorders>
              <w:top w:val="single" w:sz="4" w:space="0" w:color="auto"/>
              <w:left w:val="single" w:sz="4" w:space="0" w:color="auto"/>
              <w:bottom w:val="single" w:sz="4" w:space="0" w:color="auto"/>
              <w:right w:val="single" w:sz="4" w:space="0" w:color="auto"/>
            </w:tcBorders>
            <w:vAlign w:val="center"/>
          </w:tcPr>
          <w:p w14:paraId="3A52CCDE"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行政</w:t>
            </w:r>
          </w:p>
          <w:p w14:paraId="158A3B3D"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职务</w:t>
            </w:r>
          </w:p>
        </w:tc>
        <w:tc>
          <w:tcPr>
            <w:tcW w:w="2499" w:type="dxa"/>
            <w:tcBorders>
              <w:top w:val="single" w:sz="4" w:space="0" w:color="auto"/>
              <w:left w:val="single" w:sz="4" w:space="0" w:color="auto"/>
              <w:bottom w:val="single" w:sz="4" w:space="0" w:color="auto"/>
              <w:right w:val="single" w:sz="4" w:space="0" w:color="auto"/>
            </w:tcBorders>
            <w:vAlign w:val="center"/>
          </w:tcPr>
          <w:p w14:paraId="730F5DC9"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工作单位</w:t>
            </w:r>
          </w:p>
        </w:tc>
        <w:tc>
          <w:tcPr>
            <w:tcW w:w="2387" w:type="dxa"/>
            <w:tcBorders>
              <w:top w:val="single" w:sz="4" w:space="0" w:color="auto"/>
              <w:left w:val="single" w:sz="4" w:space="0" w:color="auto"/>
              <w:bottom w:val="single" w:sz="4" w:space="0" w:color="auto"/>
              <w:right w:val="single" w:sz="4" w:space="0" w:color="auto"/>
            </w:tcBorders>
            <w:vAlign w:val="center"/>
          </w:tcPr>
          <w:p w14:paraId="2F8DE4ED"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对项目贡献</w:t>
            </w:r>
          </w:p>
        </w:tc>
      </w:tr>
      <w:tr w:rsidR="0095202E" w14:paraId="633CD1B2" w14:textId="77777777">
        <w:tc>
          <w:tcPr>
            <w:tcW w:w="988" w:type="dxa"/>
            <w:tcBorders>
              <w:top w:val="single" w:sz="4" w:space="0" w:color="auto"/>
              <w:left w:val="single" w:sz="4" w:space="0" w:color="auto"/>
              <w:bottom w:val="single" w:sz="4" w:space="0" w:color="auto"/>
              <w:right w:val="single" w:sz="4" w:space="0" w:color="auto"/>
            </w:tcBorders>
            <w:vAlign w:val="center"/>
          </w:tcPr>
          <w:p w14:paraId="5C21A34F"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王俊玲</w:t>
            </w:r>
          </w:p>
        </w:tc>
        <w:tc>
          <w:tcPr>
            <w:tcW w:w="425" w:type="dxa"/>
            <w:tcBorders>
              <w:top w:val="single" w:sz="4" w:space="0" w:color="auto"/>
              <w:left w:val="single" w:sz="4" w:space="0" w:color="auto"/>
              <w:bottom w:val="single" w:sz="4" w:space="0" w:color="auto"/>
              <w:right w:val="single" w:sz="4" w:space="0" w:color="auto"/>
            </w:tcBorders>
            <w:vAlign w:val="center"/>
          </w:tcPr>
          <w:p w14:paraId="1182EDD6"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1</w:t>
            </w:r>
          </w:p>
        </w:tc>
        <w:tc>
          <w:tcPr>
            <w:tcW w:w="1814" w:type="dxa"/>
            <w:tcBorders>
              <w:top w:val="single" w:sz="4" w:space="0" w:color="auto"/>
              <w:left w:val="single" w:sz="4" w:space="0" w:color="auto"/>
              <w:bottom w:val="single" w:sz="4" w:space="0" w:color="auto"/>
              <w:right w:val="single" w:sz="4" w:space="0" w:color="auto"/>
            </w:tcBorders>
            <w:vAlign w:val="center"/>
          </w:tcPr>
          <w:p w14:paraId="66EADFF0"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教授</w:t>
            </w:r>
            <w:r>
              <w:rPr>
                <w:rFonts w:ascii="宋体" w:hAnsi="宋体" w:hint="eastAsia"/>
                <w:color w:val="0D0D0D"/>
                <w:spacing w:val="2"/>
                <w:sz w:val="24"/>
                <w:szCs w:val="24"/>
              </w:rPr>
              <w:t>/</w:t>
            </w:r>
            <w:r>
              <w:rPr>
                <w:rFonts w:ascii="宋体" w:hAnsi="宋体" w:hint="eastAsia"/>
                <w:color w:val="0D0D0D"/>
                <w:spacing w:val="2"/>
                <w:sz w:val="24"/>
                <w:szCs w:val="24"/>
              </w:rPr>
              <w:t>博导</w:t>
            </w:r>
          </w:p>
        </w:tc>
        <w:tc>
          <w:tcPr>
            <w:tcW w:w="1021" w:type="dxa"/>
            <w:tcBorders>
              <w:top w:val="single" w:sz="4" w:space="0" w:color="auto"/>
              <w:left w:val="single" w:sz="4" w:space="0" w:color="auto"/>
              <w:bottom w:val="single" w:sz="4" w:space="0" w:color="auto"/>
              <w:right w:val="single" w:sz="4" w:space="0" w:color="auto"/>
            </w:tcBorders>
            <w:vAlign w:val="center"/>
          </w:tcPr>
          <w:p w14:paraId="5B9DF90A"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院长</w:t>
            </w:r>
          </w:p>
        </w:tc>
        <w:tc>
          <w:tcPr>
            <w:tcW w:w="2499" w:type="dxa"/>
            <w:tcBorders>
              <w:top w:val="single" w:sz="4" w:space="0" w:color="auto"/>
              <w:left w:val="single" w:sz="4" w:space="0" w:color="auto"/>
              <w:bottom w:val="single" w:sz="4" w:space="0" w:color="auto"/>
              <w:right w:val="single" w:sz="4" w:space="0" w:color="auto"/>
            </w:tcBorders>
            <w:vAlign w:val="center"/>
          </w:tcPr>
          <w:p w14:paraId="5667E254"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兰州大学</w:t>
            </w:r>
          </w:p>
        </w:tc>
        <w:tc>
          <w:tcPr>
            <w:tcW w:w="2387" w:type="dxa"/>
            <w:tcBorders>
              <w:top w:val="single" w:sz="4" w:space="0" w:color="auto"/>
              <w:left w:val="single" w:sz="4" w:space="0" w:color="auto"/>
              <w:bottom w:val="single" w:sz="4" w:space="0" w:color="auto"/>
              <w:right w:val="single" w:sz="4" w:space="0" w:color="auto"/>
            </w:tcBorders>
            <w:vAlign w:val="center"/>
          </w:tcPr>
          <w:p w14:paraId="6A62875B"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课题设计、指导</w:t>
            </w:r>
          </w:p>
          <w:p w14:paraId="60EF9BE7"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及实施</w:t>
            </w:r>
          </w:p>
        </w:tc>
      </w:tr>
      <w:tr w:rsidR="0095202E" w14:paraId="0132F819" w14:textId="77777777">
        <w:tc>
          <w:tcPr>
            <w:tcW w:w="988" w:type="dxa"/>
            <w:tcBorders>
              <w:top w:val="single" w:sz="4" w:space="0" w:color="auto"/>
              <w:left w:val="single" w:sz="4" w:space="0" w:color="auto"/>
              <w:bottom w:val="single" w:sz="4" w:space="0" w:color="auto"/>
              <w:right w:val="single" w:sz="4" w:space="0" w:color="auto"/>
            </w:tcBorders>
            <w:vAlign w:val="center"/>
          </w:tcPr>
          <w:p w14:paraId="2F457F45"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lastRenderedPageBreak/>
              <w:t>李成云</w:t>
            </w:r>
          </w:p>
        </w:tc>
        <w:tc>
          <w:tcPr>
            <w:tcW w:w="425" w:type="dxa"/>
            <w:tcBorders>
              <w:top w:val="single" w:sz="4" w:space="0" w:color="auto"/>
              <w:left w:val="single" w:sz="4" w:space="0" w:color="auto"/>
              <w:bottom w:val="single" w:sz="4" w:space="0" w:color="auto"/>
              <w:right w:val="single" w:sz="4" w:space="0" w:color="auto"/>
            </w:tcBorders>
            <w:vAlign w:val="center"/>
          </w:tcPr>
          <w:p w14:paraId="1830393C"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2</w:t>
            </w:r>
          </w:p>
        </w:tc>
        <w:tc>
          <w:tcPr>
            <w:tcW w:w="1814" w:type="dxa"/>
            <w:tcBorders>
              <w:top w:val="single" w:sz="4" w:space="0" w:color="auto"/>
              <w:left w:val="single" w:sz="4" w:space="0" w:color="auto"/>
              <w:bottom w:val="single" w:sz="4" w:space="0" w:color="auto"/>
              <w:right w:val="single" w:sz="4" w:space="0" w:color="auto"/>
            </w:tcBorders>
            <w:vAlign w:val="center"/>
          </w:tcPr>
          <w:p w14:paraId="0D106AFF"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讲师</w:t>
            </w:r>
            <w:r>
              <w:rPr>
                <w:rFonts w:ascii="宋体" w:hAnsi="宋体" w:hint="eastAsia"/>
                <w:color w:val="0D0D0D"/>
                <w:spacing w:val="2"/>
                <w:sz w:val="24"/>
                <w:szCs w:val="24"/>
              </w:rPr>
              <w:t>/</w:t>
            </w:r>
            <w:proofErr w:type="gramStart"/>
            <w:r>
              <w:rPr>
                <w:rFonts w:ascii="宋体" w:hAnsi="宋体" w:hint="eastAsia"/>
                <w:color w:val="0D0D0D"/>
                <w:spacing w:val="2"/>
                <w:sz w:val="24"/>
                <w:szCs w:val="24"/>
              </w:rPr>
              <w:t>硕导</w:t>
            </w:r>
            <w:proofErr w:type="gramEnd"/>
          </w:p>
        </w:tc>
        <w:tc>
          <w:tcPr>
            <w:tcW w:w="1021" w:type="dxa"/>
            <w:tcBorders>
              <w:top w:val="single" w:sz="4" w:space="0" w:color="auto"/>
              <w:left w:val="single" w:sz="4" w:space="0" w:color="auto"/>
              <w:bottom w:val="single" w:sz="4" w:space="0" w:color="auto"/>
              <w:right w:val="single" w:sz="4" w:space="0" w:color="auto"/>
            </w:tcBorders>
            <w:vAlign w:val="center"/>
          </w:tcPr>
          <w:p w14:paraId="49E574F4"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无</w:t>
            </w:r>
          </w:p>
        </w:tc>
        <w:tc>
          <w:tcPr>
            <w:tcW w:w="2499" w:type="dxa"/>
            <w:tcBorders>
              <w:top w:val="single" w:sz="4" w:space="0" w:color="auto"/>
              <w:left w:val="single" w:sz="4" w:space="0" w:color="auto"/>
              <w:bottom w:val="single" w:sz="4" w:space="0" w:color="auto"/>
              <w:right w:val="single" w:sz="4" w:space="0" w:color="auto"/>
            </w:tcBorders>
            <w:vAlign w:val="center"/>
          </w:tcPr>
          <w:p w14:paraId="02C496F3"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兰州大学</w:t>
            </w:r>
          </w:p>
        </w:tc>
        <w:tc>
          <w:tcPr>
            <w:tcW w:w="2387" w:type="dxa"/>
            <w:tcBorders>
              <w:top w:val="single" w:sz="4" w:space="0" w:color="auto"/>
              <w:left w:val="single" w:sz="4" w:space="0" w:color="auto"/>
              <w:bottom w:val="single" w:sz="4" w:space="0" w:color="auto"/>
              <w:right w:val="single" w:sz="4" w:space="0" w:color="auto"/>
            </w:tcBorders>
            <w:vAlign w:val="center"/>
          </w:tcPr>
          <w:p w14:paraId="4ADFA7BE"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课题实施、现场调研</w:t>
            </w:r>
          </w:p>
        </w:tc>
      </w:tr>
      <w:tr w:rsidR="0095202E" w14:paraId="4438EB1E" w14:textId="77777777">
        <w:tc>
          <w:tcPr>
            <w:tcW w:w="988" w:type="dxa"/>
            <w:tcBorders>
              <w:top w:val="single" w:sz="4" w:space="0" w:color="auto"/>
              <w:left w:val="single" w:sz="4" w:space="0" w:color="auto"/>
              <w:bottom w:val="single" w:sz="4" w:space="0" w:color="auto"/>
              <w:right w:val="single" w:sz="4" w:space="0" w:color="auto"/>
            </w:tcBorders>
            <w:vAlign w:val="center"/>
          </w:tcPr>
          <w:p w14:paraId="1B6499EC" w14:textId="77777777" w:rsidR="0095202E" w:rsidRDefault="00156101">
            <w:pPr>
              <w:spacing w:line="360" w:lineRule="auto"/>
              <w:jc w:val="center"/>
              <w:rPr>
                <w:rFonts w:ascii="宋体" w:hAnsi="宋体"/>
                <w:color w:val="0D0D0D"/>
                <w:spacing w:val="2"/>
                <w:sz w:val="24"/>
                <w:szCs w:val="24"/>
              </w:rPr>
            </w:pPr>
            <w:proofErr w:type="gramStart"/>
            <w:r>
              <w:rPr>
                <w:rFonts w:ascii="宋体" w:hAnsi="宋体" w:hint="eastAsia"/>
                <w:color w:val="0D0D0D"/>
                <w:spacing w:val="2"/>
                <w:sz w:val="24"/>
                <w:szCs w:val="24"/>
              </w:rPr>
              <w:t>古雪岩</w:t>
            </w:r>
            <w:proofErr w:type="gramEnd"/>
          </w:p>
        </w:tc>
        <w:tc>
          <w:tcPr>
            <w:tcW w:w="425" w:type="dxa"/>
            <w:tcBorders>
              <w:top w:val="single" w:sz="4" w:space="0" w:color="auto"/>
              <w:left w:val="single" w:sz="4" w:space="0" w:color="auto"/>
              <w:bottom w:val="single" w:sz="4" w:space="0" w:color="auto"/>
              <w:right w:val="single" w:sz="4" w:space="0" w:color="auto"/>
            </w:tcBorders>
            <w:vAlign w:val="center"/>
          </w:tcPr>
          <w:p w14:paraId="7D71A71B"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3</w:t>
            </w:r>
          </w:p>
        </w:tc>
        <w:tc>
          <w:tcPr>
            <w:tcW w:w="1814" w:type="dxa"/>
            <w:tcBorders>
              <w:top w:val="single" w:sz="4" w:space="0" w:color="auto"/>
              <w:left w:val="single" w:sz="4" w:space="0" w:color="auto"/>
              <w:bottom w:val="single" w:sz="4" w:space="0" w:color="auto"/>
              <w:right w:val="single" w:sz="4" w:space="0" w:color="auto"/>
            </w:tcBorders>
            <w:vAlign w:val="center"/>
          </w:tcPr>
          <w:p w14:paraId="0C24C13E"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讲师</w:t>
            </w:r>
          </w:p>
        </w:tc>
        <w:tc>
          <w:tcPr>
            <w:tcW w:w="1021" w:type="dxa"/>
            <w:tcBorders>
              <w:top w:val="single" w:sz="4" w:space="0" w:color="auto"/>
              <w:left w:val="single" w:sz="4" w:space="0" w:color="auto"/>
              <w:bottom w:val="single" w:sz="4" w:space="0" w:color="auto"/>
              <w:right w:val="single" w:sz="4" w:space="0" w:color="auto"/>
            </w:tcBorders>
            <w:vAlign w:val="center"/>
          </w:tcPr>
          <w:p w14:paraId="79161E25"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无</w:t>
            </w:r>
          </w:p>
        </w:tc>
        <w:tc>
          <w:tcPr>
            <w:tcW w:w="2499" w:type="dxa"/>
            <w:tcBorders>
              <w:top w:val="single" w:sz="4" w:space="0" w:color="auto"/>
              <w:left w:val="single" w:sz="4" w:space="0" w:color="auto"/>
              <w:bottom w:val="single" w:sz="4" w:space="0" w:color="auto"/>
              <w:right w:val="single" w:sz="4" w:space="0" w:color="auto"/>
            </w:tcBorders>
            <w:vAlign w:val="center"/>
          </w:tcPr>
          <w:p w14:paraId="608F5B3D"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兰州大学</w:t>
            </w:r>
          </w:p>
        </w:tc>
        <w:tc>
          <w:tcPr>
            <w:tcW w:w="2387" w:type="dxa"/>
            <w:tcBorders>
              <w:top w:val="single" w:sz="4" w:space="0" w:color="auto"/>
              <w:left w:val="single" w:sz="4" w:space="0" w:color="auto"/>
              <w:bottom w:val="single" w:sz="4" w:space="0" w:color="auto"/>
              <w:right w:val="single" w:sz="4" w:space="0" w:color="auto"/>
            </w:tcBorders>
            <w:vAlign w:val="center"/>
          </w:tcPr>
          <w:p w14:paraId="76AC1F47"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课题实施、实验操作</w:t>
            </w:r>
          </w:p>
        </w:tc>
      </w:tr>
      <w:tr w:rsidR="0095202E" w14:paraId="7237C89A" w14:textId="77777777">
        <w:tc>
          <w:tcPr>
            <w:tcW w:w="988" w:type="dxa"/>
            <w:tcBorders>
              <w:top w:val="single" w:sz="4" w:space="0" w:color="auto"/>
              <w:left w:val="single" w:sz="4" w:space="0" w:color="auto"/>
              <w:bottom w:val="single" w:sz="4" w:space="0" w:color="auto"/>
              <w:right w:val="single" w:sz="4" w:space="0" w:color="auto"/>
            </w:tcBorders>
            <w:vAlign w:val="center"/>
          </w:tcPr>
          <w:p w14:paraId="56A0AF58"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苏</w:t>
            </w:r>
            <w:r>
              <w:rPr>
                <w:rFonts w:ascii="宋体" w:hAnsi="宋体" w:hint="eastAsia"/>
                <w:color w:val="0D0D0D"/>
                <w:spacing w:val="2"/>
                <w:sz w:val="24"/>
                <w:szCs w:val="24"/>
              </w:rPr>
              <w:t xml:space="preserve"> </w:t>
            </w:r>
            <w:r>
              <w:rPr>
                <w:rFonts w:ascii="宋体" w:hAnsi="宋体"/>
                <w:color w:val="0D0D0D"/>
                <w:spacing w:val="2"/>
                <w:sz w:val="24"/>
                <w:szCs w:val="24"/>
              </w:rPr>
              <w:t xml:space="preserve"> </w:t>
            </w:r>
            <w:proofErr w:type="gramStart"/>
            <w:r>
              <w:rPr>
                <w:rFonts w:ascii="宋体" w:hAnsi="宋体" w:hint="eastAsia"/>
                <w:color w:val="0D0D0D"/>
                <w:spacing w:val="2"/>
                <w:sz w:val="24"/>
                <w:szCs w:val="24"/>
              </w:rPr>
              <w:t>莉</w:t>
            </w:r>
            <w:proofErr w:type="gramEnd"/>
          </w:p>
        </w:tc>
        <w:tc>
          <w:tcPr>
            <w:tcW w:w="425" w:type="dxa"/>
            <w:tcBorders>
              <w:top w:val="single" w:sz="4" w:space="0" w:color="auto"/>
              <w:left w:val="single" w:sz="4" w:space="0" w:color="auto"/>
              <w:bottom w:val="single" w:sz="4" w:space="0" w:color="auto"/>
              <w:right w:val="single" w:sz="4" w:space="0" w:color="auto"/>
            </w:tcBorders>
            <w:vAlign w:val="center"/>
          </w:tcPr>
          <w:p w14:paraId="6D73ADD0"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4</w:t>
            </w:r>
          </w:p>
        </w:tc>
        <w:tc>
          <w:tcPr>
            <w:tcW w:w="1814" w:type="dxa"/>
            <w:tcBorders>
              <w:top w:val="single" w:sz="4" w:space="0" w:color="auto"/>
              <w:left w:val="single" w:sz="4" w:space="0" w:color="auto"/>
              <w:bottom w:val="single" w:sz="4" w:space="0" w:color="auto"/>
              <w:right w:val="single" w:sz="4" w:space="0" w:color="auto"/>
            </w:tcBorders>
            <w:vAlign w:val="center"/>
          </w:tcPr>
          <w:p w14:paraId="09E00585"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教授</w:t>
            </w:r>
            <w:r>
              <w:rPr>
                <w:rFonts w:ascii="宋体" w:hAnsi="宋体" w:hint="eastAsia"/>
                <w:color w:val="0D0D0D"/>
                <w:spacing w:val="2"/>
                <w:sz w:val="24"/>
                <w:szCs w:val="24"/>
              </w:rPr>
              <w:t>/</w:t>
            </w:r>
            <w:proofErr w:type="gramStart"/>
            <w:r>
              <w:rPr>
                <w:rFonts w:ascii="宋体" w:hAnsi="宋体" w:hint="eastAsia"/>
                <w:color w:val="0D0D0D"/>
                <w:spacing w:val="2"/>
                <w:sz w:val="24"/>
                <w:szCs w:val="24"/>
              </w:rPr>
              <w:t>硕导</w:t>
            </w:r>
            <w:proofErr w:type="gramEnd"/>
          </w:p>
        </w:tc>
        <w:tc>
          <w:tcPr>
            <w:tcW w:w="1021" w:type="dxa"/>
            <w:tcBorders>
              <w:top w:val="single" w:sz="4" w:space="0" w:color="auto"/>
              <w:left w:val="single" w:sz="4" w:space="0" w:color="auto"/>
              <w:bottom w:val="single" w:sz="4" w:space="0" w:color="auto"/>
              <w:right w:val="single" w:sz="4" w:space="0" w:color="auto"/>
            </w:tcBorders>
            <w:vAlign w:val="center"/>
          </w:tcPr>
          <w:p w14:paraId="724063A7"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所长</w:t>
            </w:r>
          </w:p>
        </w:tc>
        <w:tc>
          <w:tcPr>
            <w:tcW w:w="2499" w:type="dxa"/>
            <w:tcBorders>
              <w:top w:val="single" w:sz="4" w:space="0" w:color="auto"/>
              <w:left w:val="single" w:sz="4" w:space="0" w:color="auto"/>
              <w:bottom w:val="single" w:sz="4" w:space="0" w:color="auto"/>
              <w:right w:val="single" w:sz="4" w:space="0" w:color="auto"/>
            </w:tcBorders>
            <w:vAlign w:val="center"/>
          </w:tcPr>
          <w:p w14:paraId="2B3C018B"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兰州大学</w:t>
            </w:r>
          </w:p>
        </w:tc>
        <w:tc>
          <w:tcPr>
            <w:tcW w:w="2387" w:type="dxa"/>
            <w:tcBorders>
              <w:top w:val="single" w:sz="4" w:space="0" w:color="auto"/>
              <w:left w:val="single" w:sz="4" w:space="0" w:color="auto"/>
              <w:bottom w:val="single" w:sz="4" w:space="0" w:color="auto"/>
              <w:right w:val="single" w:sz="4" w:space="0" w:color="auto"/>
            </w:tcBorders>
            <w:vAlign w:val="center"/>
          </w:tcPr>
          <w:p w14:paraId="3813FF59"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课题实施及质控</w:t>
            </w:r>
          </w:p>
        </w:tc>
      </w:tr>
      <w:tr w:rsidR="0095202E" w14:paraId="73B982CD" w14:textId="77777777">
        <w:tc>
          <w:tcPr>
            <w:tcW w:w="988" w:type="dxa"/>
            <w:tcBorders>
              <w:top w:val="single" w:sz="4" w:space="0" w:color="auto"/>
              <w:left w:val="single" w:sz="4" w:space="0" w:color="auto"/>
              <w:bottom w:val="single" w:sz="4" w:space="0" w:color="auto"/>
              <w:right w:val="single" w:sz="4" w:space="0" w:color="auto"/>
            </w:tcBorders>
            <w:vAlign w:val="center"/>
          </w:tcPr>
          <w:p w14:paraId="6117C2E4"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张</w:t>
            </w:r>
            <w:proofErr w:type="gramStart"/>
            <w:r>
              <w:rPr>
                <w:rFonts w:ascii="宋体" w:hAnsi="宋体" w:hint="eastAsia"/>
                <w:color w:val="0D0D0D"/>
                <w:spacing w:val="2"/>
                <w:sz w:val="24"/>
                <w:szCs w:val="24"/>
              </w:rPr>
              <w:t>浩</w:t>
            </w:r>
            <w:proofErr w:type="gramEnd"/>
            <w:r>
              <w:rPr>
                <w:rFonts w:ascii="宋体" w:hAnsi="宋体" w:hint="eastAsia"/>
                <w:color w:val="0D0D0D"/>
                <w:spacing w:val="2"/>
                <w:sz w:val="24"/>
                <w:szCs w:val="24"/>
              </w:rPr>
              <w:t>军</w:t>
            </w:r>
          </w:p>
        </w:tc>
        <w:tc>
          <w:tcPr>
            <w:tcW w:w="425" w:type="dxa"/>
            <w:tcBorders>
              <w:top w:val="single" w:sz="4" w:space="0" w:color="auto"/>
              <w:left w:val="single" w:sz="4" w:space="0" w:color="auto"/>
              <w:bottom w:val="single" w:sz="4" w:space="0" w:color="auto"/>
              <w:right w:val="single" w:sz="4" w:space="0" w:color="auto"/>
            </w:tcBorders>
            <w:vAlign w:val="center"/>
          </w:tcPr>
          <w:p w14:paraId="679C83E9"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5</w:t>
            </w:r>
          </w:p>
        </w:tc>
        <w:tc>
          <w:tcPr>
            <w:tcW w:w="1814" w:type="dxa"/>
            <w:tcBorders>
              <w:top w:val="single" w:sz="4" w:space="0" w:color="auto"/>
              <w:left w:val="single" w:sz="4" w:space="0" w:color="auto"/>
              <w:bottom w:val="single" w:sz="4" w:space="0" w:color="auto"/>
              <w:right w:val="single" w:sz="4" w:space="0" w:color="auto"/>
            </w:tcBorders>
            <w:vAlign w:val="center"/>
          </w:tcPr>
          <w:p w14:paraId="7A7D6EBD"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主任医师</w:t>
            </w:r>
            <w:r>
              <w:rPr>
                <w:rFonts w:ascii="宋体" w:hAnsi="宋体" w:hint="eastAsia"/>
                <w:color w:val="0D0D0D"/>
                <w:spacing w:val="2"/>
                <w:sz w:val="24"/>
                <w:szCs w:val="24"/>
              </w:rPr>
              <w:t>/</w:t>
            </w:r>
            <w:proofErr w:type="gramStart"/>
            <w:r>
              <w:rPr>
                <w:rFonts w:ascii="宋体" w:hAnsi="宋体" w:hint="eastAsia"/>
                <w:color w:val="0D0D0D"/>
                <w:spacing w:val="2"/>
                <w:sz w:val="24"/>
                <w:szCs w:val="24"/>
              </w:rPr>
              <w:t>硕导</w:t>
            </w:r>
            <w:proofErr w:type="gramEnd"/>
          </w:p>
        </w:tc>
        <w:tc>
          <w:tcPr>
            <w:tcW w:w="1021" w:type="dxa"/>
            <w:tcBorders>
              <w:top w:val="single" w:sz="4" w:space="0" w:color="auto"/>
              <w:left w:val="single" w:sz="4" w:space="0" w:color="auto"/>
              <w:bottom w:val="single" w:sz="4" w:space="0" w:color="auto"/>
              <w:right w:val="single" w:sz="4" w:space="0" w:color="auto"/>
            </w:tcBorders>
            <w:vAlign w:val="center"/>
          </w:tcPr>
          <w:p w14:paraId="390E347C"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副院长</w:t>
            </w:r>
          </w:p>
        </w:tc>
        <w:tc>
          <w:tcPr>
            <w:tcW w:w="2499" w:type="dxa"/>
            <w:tcBorders>
              <w:top w:val="single" w:sz="4" w:space="0" w:color="auto"/>
              <w:left w:val="single" w:sz="4" w:space="0" w:color="auto"/>
              <w:bottom w:val="single" w:sz="4" w:space="0" w:color="auto"/>
              <w:right w:val="single" w:sz="4" w:space="0" w:color="auto"/>
            </w:tcBorders>
            <w:vAlign w:val="center"/>
          </w:tcPr>
          <w:p w14:paraId="71003B35"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甘肃省第二人民医院</w:t>
            </w:r>
          </w:p>
        </w:tc>
        <w:tc>
          <w:tcPr>
            <w:tcW w:w="2387" w:type="dxa"/>
            <w:tcBorders>
              <w:top w:val="single" w:sz="4" w:space="0" w:color="auto"/>
              <w:left w:val="single" w:sz="4" w:space="0" w:color="auto"/>
              <w:bottom w:val="single" w:sz="4" w:space="0" w:color="auto"/>
              <w:right w:val="single" w:sz="4" w:space="0" w:color="auto"/>
            </w:tcBorders>
            <w:vAlign w:val="center"/>
          </w:tcPr>
          <w:p w14:paraId="30EC4901" w14:textId="77777777" w:rsidR="0095202E" w:rsidRDefault="00156101">
            <w:pPr>
              <w:spacing w:line="360" w:lineRule="auto"/>
              <w:jc w:val="center"/>
              <w:rPr>
                <w:rFonts w:ascii="宋体" w:hAnsi="宋体"/>
                <w:color w:val="0D0D0D"/>
                <w:spacing w:val="2"/>
                <w:sz w:val="24"/>
                <w:szCs w:val="24"/>
              </w:rPr>
            </w:pPr>
            <w:r>
              <w:rPr>
                <w:rFonts w:ascii="宋体" w:hAnsi="宋体" w:hint="eastAsia"/>
                <w:color w:val="0D0D0D"/>
                <w:spacing w:val="2"/>
                <w:sz w:val="24"/>
                <w:szCs w:val="24"/>
              </w:rPr>
              <w:t>课题设计、指导</w:t>
            </w:r>
          </w:p>
        </w:tc>
      </w:tr>
    </w:tbl>
    <w:p w14:paraId="2EDBF1B4" w14:textId="77777777" w:rsidR="0095202E" w:rsidRDefault="00156101">
      <w:pPr>
        <w:spacing w:line="360" w:lineRule="auto"/>
        <w:rPr>
          <w:rFonts w:ascii="宋体" w:hAnsi="宋体"/>
          <w:color w:val="0D0D0D"/>
          <w:spacing w:val="2"/>
          <w:sz w:val="24"/>
          <w:szCs w:val="24"/>
        </w:rPr>
      </w:pPr>
      <w:r>
        <w:rPr>
          <w:rFonts w:ascii="宋体" w:hAnsi="宋体" w:hint="eastAsia"/>
          <w:b/>
          <w:bCs/>
          <w:color w:val="0D0D0D"/>
          <w:spacing w:val="2"/>
          <w:sz w:val="24"/>
          <w:szCs w:val="24"/>
        </w:rPr>
        <w:t>7</w:t>
      </w:r>
      <w:r>
        <w:rPr>
          <w:rFonts w:ascii="宋体" w:hAnsi="宋体"/>
          <w:b/>
          <w:bCs/>
          <w:color w:val="0D0D0D"/>
          <w:spacing w:val="2"/>
          <w:sz w:val="24"/>
          <w:szCs w:val="24"/>
        </w:rPr>
        <w:t xml:space="preserve">. </w:t>
      </w:r>
      <w:r>
        <w:rPr>
          <w:rFonts w:ascii="宋体" w:hAnsi="宋体" w:hint="eastAsia"/>
          <w:b/>
          <w:bCs/>
          <w:color w:val="0D0D0D"/>
          <w:spacing w:val="2"/>
          <w:sz w:val="24"/>
          <w:szCs w:val="24"/>
        </w:rPr>
        <w:t>完成单位情况</w:t>
      </w:r>
    </w:p>
    <w:p w14:paraId="46D44A5A" w14:textId="77777777" w:rsidR="0095202E" w:rsidRDefault="00156101">
      <w:pPr>
        <w:spacing w:line="360" w:lineRule="auto"/>
        <w:ind w:firstLineChars="200" w:firstLine="488"/>
        <w:rPr>
          <w:rFonts w:ascii="宋体" w:hAnsi="宋体"/>
          <w:color w:val="0D0D0D"/>
          <w:spacing w:val="2"/>
          <w:sz w:val="24"/>
          <w:szCs w:val="24"/>
        </w:rPr>
      </w:pPr>
      <w:r>
        <w:rPr>
          <w:rFonts w:ascii="宋体" w:hAnsi="宋体" w:hint="eastAsia"/>
          <w:color w:val="0D0D0D"/>
          <w:spacing w:val="2"/>
          <w:sz w:val="24"/>
          <w:szCs w:val="24"/>
        </w:rPr>
        <w:t>第一完成单位：兰州大学</w:t>
      </w:r>
      <w:r>
        <w:rPr>
          <w:rFonts w:ascii="宋体" w:hAnsi="宋体" w:hint="eastAsia"/>
          <w:color w:val="0D0D0D"/>
          <w:spacing w:val="2"/>
          <w:sz w:val="24"/>
          <w:szCs w:val="24"/>
        </w:rPr>
        <w:t xml:space="preserve">  </w:t>
      </w:r>
      <w:r>
        <w:rPr>
          <w:rFonts w:ascii="宋体" w:hAnsi="宋体" w:hint="eastAsia"/>
          <w:color w:val="0D0D0D"/>
          <w:spacing w:val="2"/>
          <w:sz w:val="24"/>
          <w:szCs w:val="24"/>
        </w:rPr>
        <w:t>贡献：在项目的成果研究中，全程主持，并参与研究设计，制订及组织实施，并提供研究过程中所用到的各类所需科研试剂和检测仪器，同时对该项的完成，起到组织协调及管理的作用，对项目能成功完成起到主要的作用。</w:t>
      </w:r>
    </w:p>
    <w:p w14:paraId="59352EDE" w14:textId="77777777" w:rsidR="0095202E" w:rsidRDefault="00156101">
      <w:pPr>
        <w:spacing w:line="360" w:lineRule="auto"/>
        <w:ind w:firstLineChars="200" w:firstLine="488"/>
      </w:pPr>
      <w:r>
        <w:rPr>
          <w:rFonts w:ascii="宋体" w:hAnsi="宋体" w:hint="eastAsia"/>
          <w:color w:val="0D0D0D"/>
          <w:spacing w:val="2"/>
          <w:sz w:val="24"/>
          <w:szCs w:val="24"/>
        </w:rPr>
        <w:t>第二完成单位：甘肃省第二人民医院</w:t>
      </w:r>
      <w:r>
        <w:rPr>
          <w:rFonts w:ascii="宋体" w:hAnsi="宋体" w:hint="eastAsia"/>
          <w:color w:val="0D0D0D"/>
          <w:spacing w:val="2"/>
          <w:sz w:val="24"/>
          <w:szCs w:val="24"/>
        </w:rPr>
        <w:t xml:space="preserve">   </w:t>
      </w:r>
      <w:r>
        <w:rPr>
          <w:rFonts w:ascii="宋体" w:hAnsi="宋体" w:hint="eastAsia"/>
          <w:color w:val="0D0D0D"/>
          <w:spacing w:val="2"/>
          <w:sz w:val="24"/>
          <w:szCs w:val="24"/>
        </w:rPr>
        <w:t>贡献：提供人群研究的检测仪器，组织协调现场调查和生物样本采集工作，使项目能顺利的完成。</w:t>
      </w:r>
    </w:p>
    <w:sectPr w:rsidR="009520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4617B" w14:textId="77777777" w:rsidR="00156101" w:rsidRDefault="00156101" w:rsidP="00DF2190">
      <w:r>
        <w:separator/>
      </w:r>
    </w:p>
  </w:endnote>
  <w:endnote w:type="continuationSeparator" w:id="0">
    <w:p w14:paraId="5680ECB0" w14:textId="77777777" w:rsidR="00156101" w:rsidRDefault="00156101" w:rsidP="00DF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70174" w14:textId="77777777" w:rsidR="00156101" w:rsidRDefault="00156101" w:rsidP="00DF2190">
      <w:r>
        <w:separator/>
      </w:r>
    </w:p>
  </w:footnote>
  <w:footnote w:type="continuationSeparator" w:id="0">
    <w:p w14:paraId="6F94DAA4" w14:textId="77777777" w:rsidR="00156101" w:rsidRDefault="00156101" w:rsidP="00DF21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F05"/>
    <w:rsid w:val="00156101"/>
    <w:rsid w:val="00172B84"/>
    <w:rsid w:val="001A275B"/>
    <w:rsid w:val="001C1F05"/>
    <w:rsid w:val="00264840"/>
    <w:rsid w:val="002A70F8"/>
    <w:rsid w:val="004A07FB"/>
    <w:rsid w:val="005950BF"/>
    <w:rsid w:val="007B4AE0"/>
    <w:rsid w:val="00840A25"/>
    <w:rsid w:val="0095202E"/>
    <w:rsid w:val="009A044B"/>
    <w:rsid w:val="00A401DB"/>
    <w:rsid w:val="00C42C60"/>
    <w:rsid w:val="00CD2D58"/>
    <w:rsid w:val="00D50806"/>
    <w:rsid w:val="00D84263"/>
    <w:rsid w:val="00DC3F9E"/>
    <w:rsid w:val="00DE6F60"/>
    <w:rsid w:val="00DF2190"/>
    <w:rsid w:val="00F43821"/>
    <w:rsid w:val="00FA33DC"/>
    <w:rsid w:val="00FE107D"/>
    <w:rsid w:val="0AB17D93"/>
    <w:rsid w:val="259F2D41"/>
    <w:rsid w:val="2F2D28E7"/>
    <w:rsid w:val="32D41392"/>
    <w:rsid w:val="694F4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A56E8"/>
  <w15:docId w15:val="{0262F65D-BF13-4FB3-9458-A41D5752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styleId="a8">
    <w:name w:val="Strong"/>
    <w:basedOn w:val="a0"/>
    <w:uiPriority w:val="22"/>
    <w:qFormat/>
    <w:rPr>
      <w:b/>
      <w:bCs/>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609</Words>
  <Characters>3476</Characters>
  <Application>Microsoft Office Word</Application>
  <DocSecurity>0</DocSecurity>
  <Lines>28</Lines>
  <Paragraphs>8</Paragraphs>
  <ScaleCrop>false</ScaleCrop>
  <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l</dc:creator>
  <cp:lastModifiedBy>s l</cp:lastModifiedBy>
  <cp:revision>14</cp:revision>
  <dcterms:created xsi:type="dcterms:W3CDTF">2022-03-29T07:17:00Z</dcterms:created>
  <dcterms:modified xsi:type="dcterms:W3CDTF">2022-03-29T08:30:00Z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B4D9D12A53D64F399EB63C5740EAB9CC</vt:lpwstr>
  </property>
</Properties>
</file>